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FA2E0" w14:textId="77777777" w:rsidR="00AE0602" w:rsidRDefault="00AE0602">
      <w:pPr>
        <w:sectPr w:rsidR="00AE0602">
          <w:headerReference w:type="default" r:id="rId8"/>
          <w:footerReference w:type="default" r:id="rId9"/>
          <w:pgSz w:w="11906" w:h="16838"/>
          <w:pgMar w:top="1440" w:right="1440" w:bottom="1440" w:left="1440" w:header="708" w:footer="708" w:gutter="0"/>
          <w:cols w:space="708"/>
          <w:docGrid w:linePitch="360"/>
        </w:sectPr>
      </w:pPr>
    </w:p>
    <w:p w14:paraId="1018424C" w14:textId="77777777" w:rsidR="00CE78AE" w:rsidRPr="00AE0602" w:rsidRDefault="00AE0602">
      <w:pPr>
        <w:rPr>
          <w:b/>
          <w:sz w:val="24"/>
          <w:szCs w:val="24"/>
        </w:rPr>
      </w:pPr>
      <w:r w:rsidRPr="00AE0602">
        <w:rPr>
          <w:b/>
          <w:sz w:val="24"/>
          <w:szCs w:val="24"/>
        </w:rPr>
        <w:t>Introduction</w:t>
      </w:r>
    </w:p>
    <w:p w14:paraId="4E4B5E52" w14:textId="3C3D3107" w:rsidR="00AE0602" w:rsidRDefault="0090398F" w:rsidP="001D57DD">
      <w:pPr>
        <w:spacing w:line="360" w:lineRule="auto"/>
      </w:pPr>
      <w:r w:rsidRPr="0090398F">
        <w:t xml:space="preserve">This study included patients who died before the end of the seventh day of an admission with acute heart failure. It has uncovered </w:t>
      </w:r>
      <w:r w:rsidR="00D56EA1">
        <w:t>a</w:t>
      </w:r>
      <w:r w:rsidRPr="0090398F">
        <w:t xml:space="preserve">reas where improvements are needed in both the organisation of services and in the clinical care provided to these patients. The presence of chronic heart failure in the majority of patients also ensured that it was possible to assess the </w:t>
      </w:r>
      <w:r w:rsidR="00A53F21" w:rsidRPr="0090398F">
        <w:t>long-term</w:t>
      </w:r>
      <w:r w:rsidRPr="0090398F">
        <w:t xml:space="preserve"> care pathway for these patients.</w:t>
      </w:r>
    </w:p>
    <w:p w14:paraId="6B84EE79" w14:textId="4E695EA2" w:rsidR="00357EA4" w:rsidRDefault="009509B2" w:rsidP="00357EA4">
      <w:pPr>
        <w:spacing w:line="360" w:lineRule="auto"/>
      </w:pPr>
      <w:r>
        <w:t>A</w:t>
      </w:r>
      <w:r w:rsidR="00357EA4" w:rsidRPr="00357EA4">
        <w:t xml:space="preserve"> National Heart Failure Audit was established in 2007 to monitor the care and treatment of patients in England and Wales with acute heart failure. The audit reports on all patients discharged from hospital with a primary diagnosis of heart failure, publishing analysis on patient outcomes and clinical practice. </w:t>
      </w:r>
      <w:r>
        <w:t xml:space="preserve"> </w:t>
      </w:r>
      <w:r w:rsidR="00357EA4" w:rsidRPr="00357EA4">
        <w:t>Audit findings can be used to measure the implementation of guidelines for the clinical management of heart failure from the National Institute for Health and Clinical Excellence (NICE) and the European Society of Cardiology Heart Failure Association (ESC HFA).</w:t>
      </w:r>
      <w:r>
        <w:t xml:space="preserve">  </w:t>
      </w:r>
      <w:r w:rsidR="00357EA4" w:rsidRPr="00357EA4">
        <w:t xml:space="preserve">The audit has consistently shown that specialist cardiology input and the prescription of recommended treatments are associated with prolonged survival and better outcomes for heart failure patients. </w:t>
      </w:r>
    </w:p>
    <w:p w14:paraId="662A7282" w14:textId="5F2032E1" w:rsidR="00045DF6" w:rsidRDefault="00045DF6" w:rsidP="00357EA4">
      <w:pPr>
        <w:spacing w:line="360" w:lineRule="auto"/>
      </w:pPr>
      <w:r>
        <w:t xml:space="preserve">This study was developed with the involvement of the National Heart Failure Audit and adds a different perspective on clinical practice and organisational systems and structures.  </w:t>
      </w:r>
    </w:p>
    <w:p w14:paraId="3021ADD3" w14:textId="7126AC88" w:rsidR="009509B2" w:rsidRPr="00357EA4" w:rsidRDefault="00A95F3D" w:rsidP="00357EA4">
      <w:pPr>
        <w:spacing w:line="360" w:lineRule="auto"/>
      </w:pPr>
      <w:r>
        <w:t xml:space="preserve">NCEPOD produces other tools and resources that you may find useful for using the report.  These can be found at </w:t>
      </w:r>
      <w:r w:rsidR="00603389">
        <w:fldChar w:fldCharType="begin"/>
      </w:r>
      <w:r w:rsidR="00603389">
        <w:instrText>HYPERLINK "http://www.ncepod.org.uk/2018ahf.html"</w:instrText>
      </w:r>
      <w:r w:rsidR="00603389">
        <w:fldChar w:fldCharType="separate"/>
      </w:r>
      <w:r w:rsidR="00603389">
        <w:rPr>
          <w:rStyle w:val="Hyperlink"/>
        </w:rPr>
        <w:t>http://www.ncepod.org.uk/2018ahf.html</w:t>
      </w:r>
      <w:r w:rsidR="00603389">
        <w:rPr>
          <w:rStyle w:val="Hyperlink"/>
        </w:rPr>
        <w:fldChar w:fldCharType="end"/>
      </w:r>
      <w:bookmarkStart w:id="0" w:name="_GoBack"/>
      <w:bookmarkEnd w:id="0"/>
    </w:p>
    <w:p w14:paraId="7E0B10A2" w14:textId="77777777" w:rsidR="00A95F3D" w:rsidRDefault="00A95F3D">
      <w:pPr>
        <w:rPr>
          <w:b/>
          <w:sz w:val="24"/>
          <w:szCs w:val="24"/>
        </w:rPr>
      </w:pPr>
    </w:p>
    <w:p w14:paraId="6FDD2235" w14:textId="77777777" w:rsidR="00AE0602" w:rsidRPr="007338F0" w:rsidRDefault="007338F0">
      <w:pPr>
        <w:rPr>
          <w:b/>
          <w:sz w:val="24"/>
          <w:szCs w:val="24"/>
        </w:rPr>
      </w:pPr>
      <w:r w:rsidRPr="007338F0">
        <w:rPr>
          <w:b/>
          <w:sz w:val="24"/>
          <w:szCs w:val="24"/>
        </w:rPr>
        <w:t>Patient population</w:t>
      </w:r>
    </w:p>
    <w:p w14:paraId="262AE904" w14:textId="73A84549" w:rsidR="00EA7667" w:rsidRDefault="004F1F5F" w:rsidP="00E91298">
      <w:pPr>
        <w:spacing w:line="360" w:lineRule="auto"/>
      </w:pPr>
      <w:r>
        <w:t>Patients (aged 16 and older) who were admitted as an emergency with a primary diagnosis of heart failure and died in hospital were included in the study.  A subpopulation of patients who died in hospital within seven days of admission were selected for detailed review of their care.</w:t>
      </w:r>
      <w:r w:rsidR="00EA7667">
        <w:t xml:space="preserve">  A</w:t>
      </w:r>
      <w:r w:rsidR="00E91298">
        <w:t>round a third of the sample had symptoms at rest or on minimal exertion</w:t>
      </w:r>
      <w:r w:rsidR="00EA7667">
        <w:t xml:space="preserve"> (</w:t>
      </w:r>
      <w:r w:rsidR="00E91298">
        <w:t>New York Heart Association (</w:t>
      </w:r>
      <w:r w:rsidR="00EA7667">
        <w:t>NYHA</w:t>
      </w:r>
      <w:r w:rsidR="00E91298">
        <w:t>) category</w:t>
      </w:r>
      <w:r w:rsidR="00EA7667">
        <w:t xml:space="preserve"> 4)</w:t>
      </w:r>
      <w:r w:rsidR="00E91298">
        <w:t>.</w:t>
      </w:r>
    </w:p>
    <w:p w14:paraId="2E5E586A" w14:textId="741368EF" w:rsidR="00EA7667" w:rsidRDefault="00EA7667" w:rsidP="004F1F5F">
      <w:pPr>
        <w:spacing w:line="360" w:lineRule="auto"/>
      </w:pPr>
      <w:r>
        <w:t>There are around 900,000 people in the UK with heart failure (chronic or acute)</w:t>
      </w:r>
      <w:r w:rsidR="00E4315F">
        <w:rPr>
          <w:rStyle w:val="FootnoteReference"/>
        </w:rPr>
        <w:footnoteReference w:id="1"/>
      </w:r>
      <w:r>
        <w:t>.  The in-hospital mortality rate for those admitted with acute heart failure is approximately 10%.</w:t>
      </w:r>
    </w:p>
    <w:p w14:paraId="0FA67CCD" w14:textId="77777777" w:rsidR="00A95F3D" w:rsidRDefault="00A95F3D">
      <w:pPr>
        <w:rPr>
          <w:b/>
          <w:sz w:val="24"/>
          <w:szCs w:val="24"/>
        </w:rPr>
      </w:pPr>
      <w:r>
        <w:rPr>
          <w:b/>
          <w:sz w:val="24"/>
          <w:szCs w:val="24"/>
        </w:rPr>
        <w:br w:type="page"/>
      </w:r>
    </w:p>
    <w:p w14:paraId="2183B1F0" w14:textId="098A09CC" w:rsidR="00AE0602" w:rsidRPr="00AE0602" w:rsidRDefault="00AE0602">
      <w:pPr>
        <w:rPr>
          <w:sz w:val="24"/>
          <w:szCs w:val="24"/>
        </w:rPr>
      </w:pPr>
      <w:r w:rsidRPr="00AE0602">
        <w:rPr>
          <w:b/>
          <w:sz w:val="24"/>
          <w:szCs w:val="24"/>
        </w:rPr>
        <w:lastRenderedPageBreak/>
        <w:t>Clinical issues</w:t>
      </w:r>
    </w:p>
    <w:p w14:paraId="2D6B801D" w14:textId="77777777" w:rsidR="000271E1" w:rsidRDefault="000271E1" w:rsidP="000271E1">
      <w:pPr>
        <w:pStyle w:val="ListParagraph"/>
        <w:numPr>
          <w:ilvl w:val="0"/>
          <w:numId w:val="1"/>
        </w:numPr>
        <w:spacing w:line="360" w:lineRule="auto"/>
      </w:pPr>
      <w:r w:rsidRPr="000271E1">
        <w:t>A</w:t>
      </w:r>
      <w:r>
        <w:t xml:space="preserve"> </w:t>
      </w:r>
      <w:r w:rsidRPr="000271E1">
        <w:t>specialist</w:t>
      </w:r>
      <w:r>
        <w:t xml:space="preserve"> </w:t>
      </w:r>
      <w:r w:rsidRPr="000271E1">
        <w:t>inpatient</w:t>
      </w:r>
      <w:r>
        <w:t xml:space="preserve"> </w:t>
      </w:r>
      <w:r w:rsidRPr="000271E1">
        <w:t>heart</w:t>
      </w:r>
      <w:r>
        <w:t xml:space="preserve"> </w:t>
      </w:r>
      <w:r w:rsidRPr="000271E1">
        <w:t>failure</w:t>
      </w:r>
      <w:r>
        <w:t xml:space="preserve"> </w:t>
      </w:r>
      <w:r w:rsidRPr="000271E1">
        <w:t>service</w:t>
      </w:r>
      <w:r>
        <w:t xml:space="preserve"> </w:t>
      </w:r>
      <w:r w:rsidRPr="000271E1">
        <w:t>was</w:t>
      </w:r>
      <w:r>
        <w:t xml:space="preserve"> </w:t>
      </w:r>
      <w:r w:rsidRPr="000271E1">
        <w:t>available</w:t>
      </w:r>
      <w:r>
        <w:t xml:space="preserve"> </w:t>
      </w:r>
      <w:r w:rsidRPr="000271E1">
        <w:t xml:space="preserve">at 88.2% hospitals </w:t>
      </w:r>
    </w:p>
    <w:p w14:paraId="0ED7D10D" w14:textId="4A7E3ED1" w:rsidR="006F6044" w:rsidRDefault="000271E1" w:rsidP="000271E1">
      <w:pPr>
        <w:pStyle w:val="ListParagraph"/>
        <w:numPr>
          <w:ilvl w:val="0"/>
          <w:numId w:val="1"/>
        </w:numPr>
        <w:spacing w:line="360" w:lineRule="auto"/>
      </w:pPr>
      <w:r w:rsidRPr="000271E1">
        <w:t>Outpatient</w:t>
      </w:r>
      <w:r w:rsidR="006527AD">
        <w:t xml:space="preserve"> </w:t>
      </w:r>
      <w:r w:rsidRPr="000271E1">
        <w:t>provisions</w:t>
      </w:r>
      <w:r w:rsidR="006527AD">
        <w:t xml:space="preserve"> </w:t>
      </w:r>
      <w:r w:rsidRPr="000271E1">
        <w:t>for</w:t>
      </w:r>
      <w:r w:rsidR="006527AD">
        <w:t xml:space="preserve"> </w:t>
      </w:r>
      <w:r w:rsidRPr="000271E1">
        <w:t>heart</w:t>
      </w:r>
      <w:r w:rsidR="006527AD">
        <w:t xml:space="preserve"> </w:t>
      </w:r>
      <w:r w:rsidRPr="000271E1">
        <w:t>failure</w:t>
      </w:r>
      <w:r w:rsidR="006527AD">
        <w:t xml:space="preserve"> </w:t>
      </w:r>
      <w:r w:rsidRPr="000271E1">
        <w:t>patients</w:t>
      </w:r>
      <w:r w:rsidR="006527AD">
        <w:t xml:space="preserve"> </w:t>
      </w:r>
      <w:r w:rsidRPr="000271E1">
        <w:t>were</w:t>
      </w:r>
      <w:r w:rsidR="006527AD">
        <w:t xml:space="preserve"> </w:t>
      </w:r>
      <w:r w:rsidRPr="000271E1">
        <w:t>provided in 96.0% hospitals</w:t>
      </w:r>
    </w:p>
    <w:p w14:paraId="18E173C5" w14:textId="77777777" w:rsidR="00F67869" w:rsidRDefault="00F67869" w:rsidP="00F67869">
      <w:pPr>
        <w:pStyle w:val="ListParagraph"/>
        <w:numPr>
          <w:ilvl w:val="0"/>
          <w:numId w:val="1"/>
        </w:numPr>
        <w:spacing w:line="360" w:lineRule="auto"/>
      </w:pPr>
      <w:r w:rsidRPr="00F67869">
        <w:t>An</w:t>
      </w:r>
      <w:r>
        <w:t xml:space="preserve"> </w:t>
      </w:r>
      <w:r w:rsidRPr="00F67869">
        <w:t>on-site</w:t>
      </w:r>
      <w:r>
        <w:t xml:space="preserve"> </w:t>
      </w:r>
      <w:r w:rsidRPr="00F67869">
        <w:t>echocardiography</w:t>
      </w:r>
      <w:r>
        <w:t xml:space="preserve"> </w:t>
      </w:r>
      <w:r w:rsidRPr="00F67869">
        <w:t>service</w:t>
      </w:r>
      <w:r>
        <w:t xml:space="preserve"> </w:t>
      </w:r>
      <w:r w:rsidRPr="00F67869">
        <w:t>was</w:t>
      </w:r>
      <w:r>
        <w:t xml:space="preserve"> </w:t>
      </w:r>
      <w:r w:rsidRPr="00F67869">
        <w:t>available</w:t>
      </w:r>
      <w:r>
        <w:t xml:space="preserve"> </w:t>
      </w:r>
      <w:r w:rsidRPr="00F67869">
        <w:t>at</w:t>
      </w:r>
      <w:r>
        <w:t xml:space="preserve"> </w:t>
      </w:r>
      <w:r w:rsidRPr="00F67869">
        <w:t xml:space="preserve">96.5% hospitals </w:t>
      </w:r>
    </w:p>
    <w:p w14:paraId="292325EF" w14:textId="168A4762" w:rsidR="00105A82" w:rsidRDefault="00F67869" w:rsidP="00F67869">
      <w:pPr>
        <w:pStyle w:val="ListParagraph"/>
        <w:numPr>
          <w:ilvl w:val="0"/>
          <w:numId w:val="1"/>
        </w:numPr>
        <w:spacing w:line="360" w:lineRule="auto"/>
      </w:pPr>
      <w:r w:rsidRPr="00F67869">
        <w:t>An</w:t>
      </w:r>
      <w:r>
        <w:t xml:space="preserve"> </w:t>
      </w:r>
      <w:r w:rsidRPr="00F67869">
        <w:t>‘on</w:t>
      </w:r>
      <w:r>
        <w:t xml:space="preserve"> </w:t>
      </w:r>
      <w:r w:rsidRPr="00F67869">
        <w:t>demand’</w:t>
      </w:r>
      <w:r w:rsidRPr="00F67869">
        <w:tab/>
        <w:t>service</w:t>
      </w:r>
      <w:r>
        <w:t xml:space="preserve"> </w:t>
      </w:r>
      <w:r w:rsidRPr="00F67869">
        <w:t>for</w:t>
      </w:r>
      <w:r>
        <w:t xml:space="preserve"> </w:t>
      </w:r>
      <w:r w:rsidRPr="00F67869">
        <w:t>echocardiography</w:t>
      </w:r>
      <w:r>
        <w:t xml:space="preserve"> </w:t>
      </w:r>
      <w:r w:rsidRPr="00F67869">
        <w:t>within</w:t>
      </w:r>
      <w:r>
        <w:t xml:space="preserve"> </w:t>
      </w:r>
      <w:r w:rsidRPr="00F67869">
        <w:t>the</w:t>
      </w:r>
      <w:r w:rsidRPr="00F67869">
        <w:tab/>
        <w:t>outpatient heart failure clinic, was available at 57.2% of hospitals</w:t>
      </w:r>
    </w:p>
    <w:p w14:paraId="51E13019" w14:textId="72FE4E62" w:rsidR="00B4292B" w:rsidRDefault="00BE7889" w:rsidP="00BE7889">
      <w:pPr>
        <w:pStyle w:val="ListParagraph"/>
        <w:numPr>
          <w:ilvl w:val="0"/>
          <w:numId w:val="1"/>
        </w:numPr>
        <w:spacing w:line="360" w:lineRule="auto"/>
      </w:pPr>
      <w:r w:rsidRPr="00BE7889">
        <w:t>A</w:t>
      </w:r>
      <w:r w:rsidR="00B7244A">
        <w:t xml:space="preserve"> </w:t>
      </w:r>
      <w:r w:rsidRPr="00BE7889">
        <w:t>rapid</w:t>
      </w:r>
      <w:r w:rsidR="00B7244A">
        <w:t xml:space="preserve"> </w:t>
      </w:r>
      <w:r w:rsidRPr="00BE7889">
        <w:t>access</w:t>
      </w:r>
      <w:r w:rsidR="00B7244A">
        <w:t xml:space="preserve"> </w:t>
      </w:r>
      <w:r w:rsidRPr="00BE7889">
        <w:t>heart</w:t>
      </w:r>
      <w:r w:rsidR="00B7244A">
        <w:t xml:space="preserve"> </w:t>
      </w:r>
      <w:r w:rsidRPr="00BE7889">
        <w:t>failure</w:t>
      </w:r>
      <w:r w:rsidR="00B7244A">
        <w:t xml:space="preserve"> </w:t>
      </w:r>
      <w:r w:rsidRPr="00BE7889">
        <w:t>clinic</w:t>
      </w:r>
      <w:r w:rsidR="00B7244A">
        <w:t xml:space="preserve"> </w:t>
      </w:r>
      <w:r w:rsidRPr="00BE7889">
        <w:t>was</w:t>
      </w:r>
      <w:r w:rsidR="00B7244A">
        <w:t xml:space="preserve"> </w:t>
      </w:r>
      <w:r w:rsidRPr="00BE7889">
        <w:t>available</w:t>
      </w:r>
      <w:r w:rsidR="00B7244A">
        <w:t xml:space="preserve"> </w:t>
      </w:r>
      <w:r w:rsidRPr="00BE7889">
        <w:t>at</w:t>
      </w:r>
      <w:r w:rsidR="00B7244A">
        <w:t xml:space="preserve"> </w:t>
      </w:r>
      <w:r w:rsidRPr="00BE7889">
        <w:t>52.3% hospitals</w:t>
      </w:r>
    </w:p>
    <w:p w14:paraId="2111F625" w14:textId="3E42CCE5" w:rsidR="004D1E6F" w:rsidRDefault="00DE1ECC" w:rsidP="00DE1ECC">
      <w:pPr>
        <w:pStyle w:val="ListParagraph"/>
        <w:numPr>
          <w:ilvl w:val="0"/>
          <w:numId w:val="1"/>
        </w:numPr>
        <w:spacing w:line="360" w:lineRule="auto"/>
      </w:pPr>
      <w:r w:rsidRPr="00DE1ECC">
        <w:t>A</w:t>
      </w:r>
      <w:r>
        <w:t xml:space="preserve"> </w:t>
      </w:r>
      <w:r w:rsidRPr="00DE1ECC">
        <w:t>cardiac</w:t>
      </w:r>
      <w:r>
        <w:t xml:space="preserve"> </w:t>
      </w:r>
      <w:r w:rsidRPr="00DE1ECC">
        <w:t>rehabilitation</w:t>
      </w:r>
      <w:r>
        <w:t xml:space="preserve"> </w:t>
      </w:r>
      <w:r w:rsidRPr="00DE1ECC">
        <w:t>service</w:t>
      </w:r>
      <w:r>
        <w:t xml:space="preserve"> </w:t>
      </w:r>
      <w:r w:rsidRPr="00DE1ECC">
        <w:t>was</w:t>
      </w:r>
      <w:r>
        <w:t xml:space="preserve"> </w:t>
      </w:r>
      <w:r w:rsidRPr="00DE1ECC">
        <w:t>available</w:t>
      </w:r>
      <w:r>
        <w:t xml:space="preserve"> </w:t>
      </w:r>
      <w:r w:rsidRPr="00DE1ECC">
        <w:t>at</w:t>
      </w:r>
      <w:r>
        <w:t xml:space="preserve"> </w:t>
      </w:r>
      <w:r w:rsidRPr="00DE1ECC">
        <w:t>83.1% hospitals</w:t>
      </w:r>
    </w:p>
    <w:p w14:paraId="35F340DE" w14:textId="77777777" w:rsidR="000A4129" w:rsidRDefault="000A4129" w:rsidP="000A4129">
      <w:pPr>
        <w:pStyle w:val="ListParagraph"/>
        <w:numPr>
          <w:ilvl w:val="0"/>
          <w:numId w:val="1"/>
        </w:numPr>
        <w:spacing w:line="360" w:lineRule="auto"/>
      </w:pPr>
      <w:r w:rsidRPr="000A4129">
        <w:t>A</w:t>
      </w:r>
      <w:r>
        <w:t xml:space="preserve"> </w:t>
      </w:r>
      <w:r w:rsidRPr="000A4129">
        <w:t>guideline</w:t>
      </w:r>
      <w:r>
        <w:t xml:space="preserve"> </w:t>
      </w:r>
      <w:r w:rsidRPr="000A4129">
        <w:t>or</w:t>
      </w:r>
      <w:r>
        <w:t xml:space="preserve"> </w:t>
      </w:r>
      <w:r w:rsidRPr="000A4129">
        <w:t>protocol</w:t>
      </w:r>
      <w:r>
        <w:t xml:space="preserve"> </w:t>
      </w:r>
      <w:r w:rsidRPr="000A4129">
        <w:t>for</w:t>
      </w:r>
      <w:r>
        <w:t xml:space="preserve"> </w:t>
      </w:r>
      <w:r w:rsidRPr="000A4129">
        <w:t>acute</w:t>
      </w:r>
      <w:r>
        <w:t xml:space="preserve"> </w:t>
      </w:r>
      <w:r w:rsidRPr="000A4129">
        <w:t>heart</w:t>
      </w:r>
      <w:r>
        <w:t xml:space="preserve"> </w:t>
      </w:r>
      <w:r w:rsidRPr="000A4129">
        <w:t>failure</w:t>
      </w:r>
      <w:r>
        <w:t xml:space="preserve"> </w:t>
      </w:r>
      <w:r w:rsidRPr="000A4129">
        <w:t>was</w:t>
      </w:r>
      <w:r>
        <w:t xml:space="preserve"> </w:t>
      </w:r>
      <w:r w:rsidRPr="000A4129">
        <w:t>available at 66.9% hospitals. 66.1% used the national guideline</w:t>
      </w:r>
    </w:p>
    <w:p w14:paraId="23BB39D8" w14:textId="0A515892" w:rsidR="00DE1ECC" w:rsidRDefault="000A4129" w:rsidP="000A4129">
      <w:pPr>
        <w:pStyle w:val="ListParagraph"/>
        <w:numPr>
          <w:ilvl w:val="0"/>
          <w:numId w:val="1"/>
        </w:numPr>
        <w:spacing w:line="360" w:lineRule="auto"/>
      </w:pPr>
      <w:r w:rsidRPr="000A4129">
        <w:t>Follow</w:t>
      </w:r>
      <w:r>
        <w:t xml:space="preserve"> </w:t>
      </w:r>
      <w:r w:rsidRPr="000A4129">
        <w:t>up</w:t>
      </w:r>
      <w:r>
        <w:t xml:space="preserve"> </w:t>
      </w:r>
      <w:r w:rsidRPr="000A4129">
        <w:t>by</w:t>
      </w:r>
      <w:r>
        <w:t xml:space="preserve"> </w:t>
      </w:r>
      <w:r w:rsidRPr="000A4129">
        <w:t>a</w:t>
      </w:r>
      <w:r>
        <w:t xml:space="preserve"> </w:t>
      </w:r>
      <w:r w:rsidRPr="000A4129">
        <w:t>specialist</w:t>
      </w:r>
      <w:r>
        <w:t xml:space="preserve"> </w:t>
      </w:r>
      <w:r w:rsidRPr="000A4129">
        <w:t>team</w:t>
      </w:r>
      <w:r>
        <w:t xml:space="preserve"> </w:t>
      </w:r>
      <w:r w:rsidRPr="000A4129">
        <w:t>in</w:t>
      </w:r>
      <w:r>
        <w:t xml:space="preserve"> </w:t>
      </w:r>
      <w:r w:rsidRPr="000A4129">
        <w:t>either</w:t>
      </w:r>
      <w:r>
        <w:t xml:space="preserve"> </w:t>
      </w:r>
      <w:r w:rsidRPr="000A4129">
        <w:t>the</w:t>
      </w:r>
      <w:r>
        <w:t xml:space="preserve"> </w:t>
      </w:r>
      <w:r w:rsidRPr="000A4129">
        <w:t>hospital</w:t>
      </w:r>
      <w:r>
        <w:t xml:space="preserve"> </w:t>
      </w:r>
      <w:r w:rsidRPr="000A4129">
        <w:t>or</w:t>
      </w:r>
      <w:r>
        <w:t xml:space="preserve"> </w:t>
      </w:r>
      <w:r w:rsidRPr="000A4129">
        <w:t xml:space="preserve">the community was provided by </w:t>
      </w:r>
      <w:r w:rsidR="00E53BCB">
        <w:t>almost all</w:t>
      </w:r>
      <w:r w:rsidRPr="000A4129">
        <w:t xml:space="preserve"> hospitals</w:t>
      </w:r>
    </w:p>
    <w:p w14:paraId="6DBF8FCF" w14:textId="68D96B85" w:rsidR="00E53BCB" w:rsidRDefault="00810E16" w:rsidP="00810E16">
      <w:pPr>
        <w:pStyle w:val="ListParagraph"/>
        <w:numPr>
          <w:ilvl w:val="0"/>
          <w:numId w:val="1"/>
        </w:numPr>
        <w:spacing w:line="360" w:lineRule="auto"/>
      </w:pPr>
      <w:r w:rsidRPr="00810E16">
        <w:t>A</w:t>
      </w:r>
      <w:r>
        <w:t xml:space="preserve"> </w:t>
      </w:r>
      <w:r w:rsidRPr="00810E16">
        <w:t>palliative</w:t>
      </w:r>
      <w:r>
        <w:t xml:space="preserve"> </w:t>
      </w:r>
      <w:r w:rsidRPr="00810E16">
        <w:t>care</w:t>
      </w:r>
      <w:r w:rsidR="007B6D16">
        <w:t xml:space="preserve"> </w:t>
      </w:r>
      <w:r w:rsidRPr="00810E16">
        <w:t>service</w:t>
      </w:r>
      <w:r w:rsidR="007B6D16">
        <w:t xml:space="preserve"> </w:t>
      </w:r>
      <w:r w:rsidRPr="00810E16">
        <w:t>for</w:t>
      </w:r>
      <w:r w:rsidR="007B6D16">
        <w:t xml:space="preserve"> </w:t>
      </w:r>
      <w:r w:rsidRPr="00810E16">
        <w:t>heart</w:t>
      </w:r>
      <w:r w:rsidR="007B6D16">
        <w:t xml:space="preserve"> </w:t>
      </w:r>
      <w:r w:rsidRPr="00810E16">
        <w:t>failure</w:t>
      </w:r>
      <w:r w:rsidRPr="00810E16">
        <w:tab/>
        <w:t>patients</w:t>
      </w:r>
      <w:r w:rsidR="007B6D16">
        <w:t xml:space="preserve"> </w:t>
      </w:r>
      <w:r w:rsidRPr="00810E16">
        <w:t>was</w:t>
      </w:r>
      <w:r w:rsidR="007B6D16">
        <w:t xml:space="preserve"> </w:t>
      </w:r>
      <w:r w:rsidRPr="00810E16">
        <w:t>provided at the majority of hospitals</w:t>
      </w:r>
    </w:p>
    <w:p w14:paraId="77FEABDF" w14:textId="59DFDE04" w:rsidR="00EA22A6" w:rsidRDefault="00DA1AE9" w:rsidP="00DA1AE9">
      <w:pPr>
        <w:pStyle w:val="ListParagraph"/>
        <w:numPr>
          <w:ilvl w:val="0"/>
          <w:numId w:val="1"/>
        </w:numPr>
        <w:spacing w:line="360" w:lineRule="auto"/>
      </w:pPr>
      <w:r>
        <w:t>Only 58.7% patients with NYHA grade IV heart failure were under the heart failure team</w:t>
      </w:r>
    </w:p>
    <w:p w14:paraId="7C552008" w14:textId="7CA7B403" w:rsidR="00DA1AE9" w:rsidRDefault="00BE163D" w:rsidP="00BE163D">
      <w:pPr>
        <w:pStyle w:val="ListParagraph"/>
        <w:numPr>
          <w:ilvl w:val="0"/>
          <w:numId w:val="1"/>
        </w:numPr>
        <w:spacing w:line="360" w:lineRule="auto"/>
      </w:pPr>
      <w:r>
        <w:t>In 29.5%</w:t>
      </w:r>
      <w:r w:rsidR="00956F90">
        <w:t xml:space="preserve"> of</w:t>
      </w:r>
      <w:r>
        <w:t xml:space="preserve"> cases, the case reviewers considered that the final admission was avoidable. The</w:t>
      </w:r>
      <w:r w:rsidR="00956F90">
        <w:t xml:space="preserve"> </w:t>
      </w:r>
      <w:r>
        <w:t>commonest reason given for avoidable admission was</w:t>
      </w:r>
      <w:r w:rsidR="00956F90">
        <w:t xml:space="preserve"> </w:t>
      </w:r>
      <w:r>
        <w:t>that the patient should have received end of life care.</w:t>
      </w:r>
    </w:p>
    <w:p w14:paraId="48B1C38C" w14:textId="089C2D88" w:rsidR="00956F90" w:rsidRDefault="006A4EFB" w:rsidP="006A4EFB">
      <w:pPr>
        <w:pStyle w:val="ListParagraph"/>
        <w:numPr>
          <w:ilvl w:val="0"/>
          <w:numId w:val="1"/>
        </w:numPr>
        <w:spacing w:line="360" w:lineRule="auto"/>
      </w:pPr>
      <w:r>
        <w:t xml:space="preserve">80.9% patients had an ECG in the emergency department but only </w:t>
      </w:r>
      <w:r w:rsidR="00F53F90">
        <w:t>8.5%</w:t>
      </w:r>
      <w:r>
        <w:t xml:space="preserve"> had measurement of natriuretic peptides</w:t>
      </w:r>
    </w:p>
    <w:p w14:paraId="66A459B5" w14:textId="77777777" w:rsidR="00AE7F16" w:rsidRDefault="00AE7F16" w:rsidP="00AE7F16">
      <w:pPr>
        <w:pStyle w:val="ListParagraph"/>
        <w:numPr>
          <w:ilvl w:val="0"/>
          <w:numId w:val="1"/>
        </w:numPr>
        <w:spacing w:line="360" w:lineRule="auto"/>
      </w:pPr>
      <w:r>
        <w:t xml:space="preserve">Overall, less than a fifth of both newly diagnosed and patients with established heart failure has </w:t>
      </w:r>
      <w:r w:rsidRPr="00AE7F16">
        <w:t>natriuretic peptides</w:t>
      </w:r>
      <w:r>
        <w:t xml:space="preserve"> measured</w:t>
      </w:r>
    </w:p>
    <w:p w14:paraId="4C17B8D8" w14:textId="05D86D5B" w:rsidR="006E7604" w:rsidRDefault="006E7604" w:rsidP="006E7604">
      <w:pPr>
        <w:pStyle w:val="ListParagraph"/>
        <w:numPr>
          <w:ilvl w:val="0"/>
          <w:numId w:val="1"/>
        </w:numPr>
        <w:spacing w:line="360" w:lineRule="auto"/>
      </w:pPr>
      <w:r>
        <w:t>Echocardiography was done more frequently in newly diagnosed patients (44.2%) than in patients already known to have heart failure (22.3%)</w:t>
      </w:r>
    </w:p>
    <w:p w14:paraId="1416F4C4" w14:textId="5F798447" w:rsidR="00A66038" w:rsidRDefault="00F53F90" w:rsidP="00A66038">
      <w:pPr>
        <w:pStyle w:val="ListParagraph"/>
        <w:numPr>
          <w:ilvl w:val="0"/>
          <w:numId w:val="1"/>
        </w:numPr>
        <w:spacing w:line="360" w:lineRule="auto"/>
      </w:pPr>
      <w:r>
        <w:t>I</w:t>
      </w:r>
      <w:r w:rsidR="00A66038">
        <w:t>mportant investigations or treatments were omitted in the emergency department in 28%</w:t>
      </w:r>
      <w:r>
        <w:t xml:space="preserve"> patients</w:t>
      </w:r>
    </w:p>
    <w:p w14:paraId="70FFA75E" w14:textId="13D75F17" w:rsidR="00DF61AA" w:rsidRDefault="00DF61AA" w:rsidP="00DF61AA">
      <w:pPr>
        <w:pStyle w:val="ListParagraph"/>
        <w:numPr>
          <w:ilvl w:val="0"/>
          <w:numId w:val="1"/>
        </w:numPr>
        <w:spacing w:line="360" w:lineRule="auto"/>
      </w:pPr>
      <w:r>
        <w:t>33.7% patients were transferred to a specialist (cardiology, coronary care, or critical care) ward at some point during their admission</w:t>
      </w:r>
    </w:p>
    <w:p w14:paraId="23ADD964" w14:textId="268246F0" w:rsidR="00F53F90" w:rsidRDefault="00DF61AA" w:rsidP="00DF61AA">
      <w:pPr>
        <w:pStyle w:val="ListParagraph"/>
        <w:numPr>
          <w:ilvl w:val="0"/>
          <w:numId w:val="1"/>
        </w:numPr>
        <w:spacing w:line="360" w:lineRule="auto"/>
      </w:pPr>
      <w:r>
        <w:t>Review by a specialist heart failure team only occurred in 33.0% cases</w:t>
      </w:r>
      <w:r w:rsidR="00DA6C02">
        <w:t xml:space="preserve"> and r</w:t>
      </w:r>
      <w:r>
        <w:t>eview by a cardiology doctor during their admission</w:t>
      </w:r>
      <w:r w:rsidR="00DA6C02">
        <w:t xml:space="preserve"> in less than half</w:t>
      </w:r>
    </w:p>
    <w:p w14:paraId="05B5B235" w14:textId="0E8FC36A" w:rsidR="00DA6C02" w:rsidRDefault="006E7604" w:rsidP="006E7604">
      <w:pPr>
        <w:pStyle w:val="ListParagraph"/>
        <w:numPr>
          <w:ilvl w:val="0"/>
          <w:numId w:val="1"/>
        </w:numPr>
        <w:spacing w:line="360" w:lineRule="auto"/>
      </w:pPr>
      <w:r>
        <w:t>Treatments or interventions were omitted in 22.1% of cases.  The most common omissions were respiratory support (CPAP or NIV), diuretic treatment and nitrates</w:t>
      </w:r>
      <w:r w:rsidR="00B904AA">
        <w:t>.</w:t>
      </w:r>
      <w:r>
        <w:t xml:space="preserve"> </w:t>
      </w:r>
    </w:p>
    <w:p w14:paraId="008BE7F9" w14:textId="53B1DADB" w:rsidR="006E7604" w:rsidRDefault="00184BE2" w:rsidP="00184BE2">
      <w:pPr>
        <w:pStyle w:val="ListParagraph"/>
        <w:numPr>
          <w:ilvl w:val="0"/>
          <w:numId w:val="1"/>
        </w:numPr>
        <w:spacing w:line="360" w:lineRule="auto"/>
      </w:pPr>
      <w:r>
        <w:t>Just over a quarter of the peer reviewed cases were referred to or discussed with the palliative care team. A discussion would have been useful in a further 36.1% of cases.</w:t>
      </w:r>
    </w:p>
    <w:p w14:paraId="554E7702" w14:textId="77777777" w:rsidR="00AE0602" w:rsidRPr="00AE0602" w:rsidRDefault="00AE0602">
      <w:pPr>
        <w:rPr>
          <w:sz w:val="24"/>
          <w:szCs w:val="24"/>
        </w:rPr>
      </w:pPr>
      <w:r w:rsidRPr="00AE0602">
        <w:rPr>
          <w:b/>
          <w:sz w:val="24"/>
          <w:szCs w:val="24"/>
        </w:rPr>
        <w:lastRenderedPageBreak/>
        <w:t>Organisational issues</w:t>
      </w:r>
    </w:p>
    <w:p w14:paraId="23B371A1" w14:textId="3C48815D" w:rsidR="00F624DB" w:rsidRDefault="00F624DB" w:rsidP="00F624DB">
      <w:pPr>
        <w:pStyle w:val="ListParagraph"/>
        <w:numPr>
          <w:ilvl w:val="0"/>
          <w:numId w:val="5"/>
        </w:numPr>
        <w:spacing w:line="360" w:lineRule="auto"/>
      </w:pPr>
      <w:r>
        <w:t>94.3% of hospitals contributed to the national heart failure audit.  Fewer (69.6%) kept a register of heart failure patients locally</w:t>
      </w:r>
      <w:r w:rsidR="00B904AA">
        <w:t>.</w:t>
      </w:r>
    </w:p>
    <w:p w14:paraId="42E1569F" w14:textId="33E9F230" w:rsidR="00F624DB" w:rsidRDefault="00F624DB" w:rsidP="00F624DB">
      <w:pPr>
        <w:pStyle w:val="ListParagraph"/>
        <w:numPr>
          <w:ilvl w:val="0"/>
          <w:numId w:val="5"/>
        </w:numPr>
        <w:spacing w:line="360" w:lineRule="auto"/>
      </w:pPr>
      <w:r>
        <w:t>Annual audit of heart failure services took place in 60.1% hospitals</w:t>
      </w:r>
    </w:p>
    <w:p w14:paraId="148243A9" w14:textId="1F2B4404" w:rsidR="00970F19" w:rsidRDefault="00F624DB" w:rsidP="00F624DB">
      <w:pPr>
        <w:pStyle w:val="ListParagraph"/>
        <w:numPr>
          <w:ilvl w:val="0"/>
          <w:numId w:val="5"/>
        </w:numPr>
        <w:spacing w:line="360" w:lineRule="auto"/>
      </w:pPr>
      <w:r>
        <w:t xml:space="preserve">More than nine out of ten respondents reported that they were aware of gaps in the service they provided for heart failure patients. </w:t>
      </w:r>
    </w:p>
    <w:p w14:paraId="646A67E9" w14:textId="77777777" w:rsidR="00970F19" w:rsidRDefault="00970F19"/>
    <w:p w14:paraId="4C35D7AA" w14:textId="77777777" w:rsidR="00D51AFA" w:rsidRPr="00D51AFA" w:rsidRDefault="00D51AFA">
      <w:pPr>
        <w:rPr>
          <w:b/>
          <w:sz w:val="24"/>
          <w:szCs w:val="24"/>
        </w:rPr>
      </w:pPr>
      <w:r w:rsidRPr="00D51AFA">
        <w:rPr>
          <w:b/>
          <w:sz w:val="24"/>
          <w:szCs w:val="24"/>
        </w:rPr>
        <w:t>Key features of a service</w:t>
      </w:r>
    </w:p>
    <w:p w14:paraId="7DA0EA1C" w14:textId="21423AF8" w:rsidR="00362BA9" w:rsidRDefault="00362BA9" w:rsidP="0031463F">
      <w:pPr>
        <w:spacing w:line="360" w:lineRule="auto"/>
      </w:pPr>
      <w:r>
        <w:t>The report recommends that the following should be in place:</w:t>
      </w:r>
    </w:p>
    <w:p w14:paraId="67EA36BF" w14:textId="77777777" w:rsidR="00161C4E" w:rsidRDefault="00161C4E" w:rsidP="00362BA9">
      <w:pPr>
        <w:pStyle w:val="ListParagraph"/>
        <w:numPr>
          <w:ilvl w:val="0"/>
          <w:numId w:val="6"/>
        </w:numPr>
        <w:spacing w:line="360" w:lineRule="auto"/>
      </w:pPr>
      <w:r w:rsidRPr="00161C4E">
        <w:t xml:space="preserve">A guideline for the clinical management of acute heart failure should be available in all hospitals. These guidelines should include standards for: </w:t>
      </w:r>
    </w:p>
    <w:p w14:paraId="337C03A4" w14:textId="3A3E01E0" w:rsidR="00022A6E" w:rsidRDefault="00161C4E" w:rsidP="004A6125">
      <w:pPr>
        <w:pStyle w:val="ListParagraph"/>
        <w:numPr>
          <w:ilvl w:val="1"/>
          <w:numId w:val="6"/>
        </w:numPr>
        <w:spacing w:line="360" w:lineRule="auto"/>
        <w:ind w:left="851" w:hanging="142"/>
        <w:jc w:val="both"/>
      </w:pPr>
      <w:r w:rsidRPr="00161C4E">
        <w:t>The</w:t>
      </w:r>
      <w:r w:rsidR="00187311">
        <w:t xml:space="preserve"> </w:t>
      </w:r>
      <w:r w:rsidRPr="00161C4E">
        <w:t>location</w:t>
      </w:r>
      <w:r w:rsidR="00187311">
        <w:t xml:space="preserve"> </w:t>
      </w:r>
      <w:r w:rsidRPr="00161C4E">
        <w:t>of</w:t>
      </w:r>
      <w:r w:rsidR="00187311">
        <w:t xml:space="preserve"> </w:t>
      </w:r>
      <w:r w:rsidRPr="00161C4E">
        <w:t>care</w:t>
      </w:r>
      <w:r w:rsidR="00677E9B">
        <w:t>,</w:t>
      </w:r>
      <w:r w:rsidR="00187311">
        <w:t xml:space="preserve"> </w:t>
      </w:r>
      <w:r w:rsidRPr="00161C4E">
        <w:t>which</w:t>
      </w:r>
      <w:r w:rsidR="00187311">
        <w:t xml:space="preserve"> </w:t>
      </w:r>
      <w:r w:rsidRPr="00161C4E">
        <w:t>should</w:t>
      </w:r>
      <w:r w:rsidR="00187311">
        <w:t xml:space="preserve"> </w:t>
      </w:r>
      <w:r w:rsidRPr="00161C4E">
        <w:t>be</w:t>
      </w:r>
      <w:r w:rsidR="00187311">
        <w:t xml:space="preserve"> </w:t>
      </w:r>
      <w:r w:rsidRPr="00161C4E">
        <w:t>on</w:t>
      </w:r>
      <w:r w:rsidR="00187311">
        <w:t xml:space="preserve"> </w:t>
      </w:r>
      <w:r w:rsidRPr="00161C4E">
        <w:t>a</w:t>
      </w:r>
      <w:r w:rsidR="00187311">
        <w:t xml:space="preserve"> </w:t>
      </w:r>
      <w:r w:rsidRPr="00161C4E">
        <w:t>specialist</w:t>
      </w:r>
      <w:r w:rsidR="00187311">
        <w:t xml:space="preserve"> </w:t>
      </w:r>
      <w:r w:rsidRPr="00161C4E">
        <w:t xml:space="preserve">unit </w:t>
      </w:r>
    </w:p>
    <w:p w14:paraId="5B32DF98" w14:textId="77777777" w:rsidR="00022A6E" w:rsidRDefault="00161C4E" w:rsidP="00362BA9">
      <w:pPr>
        <w:pStyle w:val="ListParagraph"/>
        <w:spacing w:line="360" w:lineRule="auto"/>
        <w:jc w:val="both"/>
      </w:pPr>
      <w:r w:rsidRPr="00161C4E">
        <w:t>•</w:t>
      </w:r>
      <w:r w:rsidR="00022A6E">
        <w:t xml:space="preserve"> </w:t>
      </w:r>
      <w:r w:rsidRPr="00161C4E">
        <w:t>Arrangements</w:t>
      </w:r>
      <w:r w:rsidR="00022A6E">
        <w:t xml:space="preserve"> </w:t>
      </w:r>
      <w:r w:rsidRPr="00161C4E">
        <w:t>for</w:t>
      </w:r>
      <w:r w:rsidR="00022A6E">
        <w:t xml:space="preserve"> </w:t>
      </w:r>
      <w:r w:rsidRPr="00161C4E">
        <w:t>heart</w:t>
      </w:r>
      <w:r w:rsidR="00022A6E">
        <w:t xml:space="preserve"> </w:t>
      </w:r>
      <w:r w:rsidRPr="00161C4E">
        <w:t>failure</w:t>
      </w:r>
      <w:r w:rsidR="00022A6E">
        <w:t xml:space="preserve"> </w:t>
      </w:r>
      <w:r w:rsidRPr="00161C4E">
        <w:t>service</w:t>
      </w:r>
      <w:r w:rsidRPr="00161C4E">
        <w:tab/>
        <w:t>review</w:t>
      </w:r>
      <w:r w:rsidR="00022A6E">
        <w:t xml:space="preserve"> </w:t>
      </w:r>
      <w:r w:rsidRPr="00161C4E">
        <w:t xml:space="preserve">within 24 hours </w:t>
      </w:r>
    </w:p>
    <w:p w14:paraId="3C51E9EA" w14:textId="77777777" w:rsidR="00627417" w:rsidRDefault="00161C4E" w:rsidP="00362BA9">
      <w:pPr>
        <w:pStyle w:val="ListParagraph"/>
        <w:spacing w:line="360" w:lineRule="auto"/>
        <w:jc w:val="both"/>
      </w:pPr>
      <w:r w:rsidRPr="00161C4E">
        <w:t>•</w:t>
      </w:r>
      <w:r w:rsidR="00627417">
        <w:t xml:space="preserve"> </w:t>
      </w:r>
      <w:r w:rsidR="00627417" w:rsidRPr="00627417">
        <w:t>Initial</w:t>
      </w:r>
      <w:r w:rsidR="00627417" w:rsidRPr="00627417">
        <w:tab/>
        <w:t>investigations</w:t>
      </w:r>
      <w:r w:rsidR="00627417">
        <w:t xml:space="preserve"> </w:t>
      </w:r>
      <w:r w:rsidR="00627417" w:rsidRPr="00627417">
        <w:t>required</w:t>
      </w:r>
      <w:r w:rsidR="00627417">
        <w:t xml:space="preserve"> </w:t>
      </w:r>
      <w:r w:rsidR="00627417" w:rsidRPr="00627417">
        <w:t>to</w:t>
      </w:r>
      <w:r w:rsidR="00627417">
        <w:t xml:space="preserve"> </w:t>
      </w:r>
      <w:r w:rsidR="00627417" w:rsidRPr="00627417">
        <w:t>diagnose</w:t>
      </w:r>
      <w:r w:rsidR="00627417">
        <w:t xml:space="preserve"> </w:t>
      </w:r>
      <w:r w:rsidR="00627417" w:rsidRPr="00627417">
        <w:t>acute</w:t>
      </w:r>
      <w:r w:rsidR="00627417">
        <w:t xml:space="preserve"> </w:t>
      </w:r>
      <w:r w:rsidR="00627417" w:rsidRPr="00627417">
        <w:t>heart</w:t>
      </w:r>
      <w:r w:rsidR="00627417">
        <w:t xml:space="preserve"> </w:t>
      </w:r>
      <w:r w:rsidR="00627417" w:rsidRPr="00627417">
        <w:t xml:space="preserve">failure, including a standard protocol for the use of: </w:t>
      </w:r>
    </w:p>
    <w:p w14:paraId="4CC04E2A" w14:textId="77777777" w:rsidR="00627417" w:rsidRDefault="00627417" w:rsidP="00362BA9">
      <w:pPr>
        <w:pStyle w:val="ListParagraph"/>
        <w:numPr>
          <w:ilvl w:val="1"/>
          <w:numId w:val="6"/>
        </w:numPr>
        <w:spacing w:line="360" w:lineRule="auto"/>
        <w:jc w:val="both"/>
      </w:pPr>
      <w:r w:rsidRPr="00627417">
        <w:t>BNP/</w:t>
      </w:r>
      <w:proofErr w:type="spellStart"/>
      <w:r w:rsidRPr="00627417">
        <w:t>NTproBNP</w:t>
      </w:r>
      <w:proofErr w:type="spellEnd"/>
      <w:r w:rsidRPr="00627417">
        <w:t xml:space="preserve"> testing </w:t>
      </w:r>
    </w:p>
    <w:p w14:paraId="7F4E241D" w14:textId="77777777" w:rsidR="002E6075" w:rsidRDefault="00627417" w:rsidP="00362BA9">
      <w:pPr>
        <w:pStyle w:val="ListParagraph"/>
        <w:numPr>
          <w:ilvl w:val="1"/>
          <w:numId w:val="6"/>
        </w:numPr>
        <w:spacing w:line="360" w:lineRule="auto"/>
        <w:jc w:val="both"/>
      </w:pPr>
      <w:r w:rsidRPr="00627417">
        <w:t xml:space="preserve">Echocardiography </w:t>
      </w:r>
    </w:p>
    <w:p w14:paraId="4399C1D7" w14:textId="56527263" w:rsidR="00D51AFA" w:rsidRDefault="00362BA9" w:rsidP="00362BA9">
      <w:pPr>
        <w:pStyle w:val="ListParagraph"/>
        <w:spacing w:line="360" w:lineRule="auto"/>
        <w:jc w:val="both"/>
      </w:pPr>
      <w:r w:rsidRPr="00161C4E">
        <w:t>•</w:t>
      </w:r>
      <w:r>
        <w:t xml:space="preserve"> </w:t>
      </w:r>
      <w:r w:rsidR="00627417" w:rsidRPr="00627417">
        <w:t>Immediate</w:t>
      </w:r>
      <w:r w:rsidR="002E6075">
        <w:t xml:space="preserve"> </w:t>
      </w:r>
      <w:r w:rsidR="00627417" w:rsidRPr="00627417">
        <w:t>treatments</w:t>
      </w:r>
      <w:r w:rsidR="002E6075">
        <w:t xml:space="preserve"> </w:t>
      </w:r>
      <w:r w:rsidR="00627417" w:rsidRPr="00627417">
        <w:t>(medications</w:t>
      </w:r>
      <w:r w:rsidR="002E6075">
        <w:t xml:space="preserve"> </w:t>
      </w:r>
      <w:r w:rsidR="00627417" w:rsidRPr="00627417">
        <w:t>guidance</w:t>
      </w:r>
      <w:r w:rsidR="002E6075">
        <w:t xml:space="preserve"> </w:t>
      </w:r>
      <w:r w:rsidR="00627417" w:rsidRPr="00627417">
        <w:t>for</w:t>
      </w:r>
      <w:r w:rsidR="002E6075">
        <w:t xml:space="preserve"> </w:t>
      </w:r>
      <w:r w:rsidR="00627417" w:rsidRPr="00627417">
        <w:t>treatment prior to specialist review)</w:t>
      </w:r>
      <w:r w:rsidR="00161C4E" w:rsidRPr="00161C4E">
        <w:tab/>
      </w:r>
    </w:p>
    <w:p w14:paraId="1A366C2F" w14:textId="54016C03" w:rsidR="004E3A6B" w:rsidRDefault="004E3A6B" w:rsidP="004E3A6B">
      <w:pPr>
        <w:pStyle w:val="ListParagraph"/>
        <w:numPr>
          <w:ilvl w:val="0"/>
          <w:numId w:val="6"/>
        </w:numPr>
        <w:spacing w:line="360" w:lineRule="auto"/>
        <w:jc w:val="both"/>
      </w:pPr>
      <w:r>
        <w:t>A heart failure multidisciplinary team with a core membership of:</w:t>
      </w:r>
    </w:p>
    <w:p w14:paraId="34E1033E" w14:textId="224E1448" w:rsidR="004E3A6B" w:rsidRDefault="004E3A6B" w:rsidP="004E3A6B">
      <w:pPr>
        <w:pStyle w:val="ListParagraph"/>
        <w:numPr>
          <w:ilvl w:val="1"/>
          <w:numId w:val="6"/>
        </w:numPr>
        <w:spacing w:line="360" w:lineRule="auto"/>
        <w:jc w:val="both"/>
      </w:pPr>
      <w:r>
        <w:t>A clinician with a sub-speciality interest in heart failure</w:t>
      </w:r>
    </w:p>
    <w:p w14:paraId="374635E5" w14:textId="74AB37B4" w:rsidR="004E3A6B" w:rsidRDefault="004E3A6B" w:rsidP="004E3A6B">
      <w:pPr>
        <w:pStyle w:val="ListParagraph"/>
        <w:numPr>
          <w:ilvl w:val="1"/>
          <w:numId w:val="6"/>
        </w:numPr>
        <w:spacing w:line="360" w:lineRule="auto"/>
        <w:jc w:val="both"/>
      </w:pPr>
      <w:r>
        <w:t>A specialist heart failure nurse</w:t>
      </w:r>
    </w:p>
    <w:p w14:paraId="3F1B9FE0" w14:textId="27F4C2B7" w:rsidR="004E3A6B" w:rsidRDefault="004E3A6B" w:rsidP="004E3A6B">
      <w:pPr>
        <w:pStyle w:val="ListParagraph"/>
        <w:numPr>
          <w:ilvl w:val="1"/>
          <w:numId w:val="6"/>
        </w:numPr>
        <w:spacing w:line="360" w:lineRule="auto"/>
        <w:jc w:val="both"/>
      </w:pPr>
      <w:r>
        <w:t>A healthcare professional with expertise in specialist prescribing for heart failure</w:t>
      </w:r>
    </w:p>
    <w:p w14:paraId="21D12D9E" w14:textId="41C74F82" w:rsidR="004E3A6B" w:rsidRDefault="004E3A6B" w:rsidP="004E3A6B">
      <w:pPr>
        <w:pStyle w:val="ListParagraph"/>
        <w:numPr>
          <w:ilvl w:val="1"/>
          <w:numId w:val="6"/>
        </w:numPr>
        <w:spacing w:line="360" w:lineRule="auto"/>
        <w:jc w:val="both"/>
      </w:pPr>
      <w:r>
        <w:t>The primary care team</w:t>
      </w:r>
    </w:p>
    <w:p w14:paraId="70CFC6AF" w14:textId="7C2B5DA4" w:rsidR="004E3A6B" w:rsidRDefault="004E3A6B" w:rsidP="004E3A6B">
      <w:pPr>
        <w:pStyle w:val="ListParagraph"/>
        <w:numPr>
          <w:ilvl w:val="1"/>
          <w:numId w:val="6"/>
        </w:numPr>
        <w:spacing w:line="360" w:lineRule="auto"/>
        <w:jc w:val="both"/>
      </w:pPr>
      <w:r>
        <w:t>A specialist in palliative care</w:t>
      </w:r>
    </w:p>
    <w:p w14:paraId="33FB1888" w14:textId="3D57CDC3" w:rsidR="00362BA9" w:rsidRDefault="004E3A6B" w:rsidP="004A6125">
      <w:pPr>
        <w:pStyle w:val="ListParagraph"/>
        <w:numPr>
          <w:ilvl w:val="1"/>
          <w:numId w:val="6"/>
        </w:numPr>
        <w:spacing w:after="0" w:line="360" w:lineRule="auto"/>
        <w:ind w:left="1434" w:hanging="357"/>
        <w:jc w:val="both"/>
      </w:pPr>
      <w:r>
        <w:t>Other services such as cardiac rehabilitation, physiotherapy, occupational therapy, clinical psychology, elderly care, dietetics and clerical support should be involved as needed.</w:t>
      </w:r>
    </w:p>
    <w:p w14:paraId="416FF4BE" w14:textId="1225B855" w:rsidR="00C026D0" w:rsidRDefault="00C026D0" w:rsidP="00C026D0">
      <w:pPr>
        <w:pStyle w:val="ListParagraph"/>
        <w:spacing w:line="360" w:lineRule="auto"/>
        <w:ind w:left="1080"/>
        <w:jc w:val="both"/>
      </w:pPr>
      <w:r>
        <w:t>This supports the draft NICE guidelines for chronic heart failure management outlining the core membership with the addition of palliative care to the core group.</w:t>
      </w:r>
    </w:p>
    <w:p w14:paraId="73A586A8" w14:textId="3BC602B2" w:rsidR="001F54CF" w:rsidRDefault="001F54CF" w:rsidP="001F54CF">
      <w:pPr>
        <w:pStyle w:val="ListParagraph"/>
        <w:numPr>
          <w:ilvl w:val="0"/>
          <w:numId w:val="6"/>
        </w:numPr>
        <w:spacing w:line="360" w:lineRule="auto"/>
        <w:jc w:val="both"/>
      </w:pPr>
      <w:r>
        <w:t>Assessment of the goals and benefits of treatment</w:t>
      </w:r>
      <w:r w:rsidR="00D152E7">
        <w:t xml:space="preserve"> </w:t>
      </w:r>
      <w:r>
        <w:t>escalation</w:t>
      </w:r>
    </w:p>
    <w:p w14:paraId="302BD431" w14:textId="726B455E" w:rsidR="001F54CF" w:rsidRDefault="001F54CF" w:rsidP="001F54CF">
      <w:pPr>
        <w:pStyle w:val="ListParagraph"/>
        <w:numPr>
          <w:ilvl w:val="0"/>
          <w:numId w:val="6"/>
        </w:numPr>
        <w:spacing w:line="360" w:lineRule="auto"/>
        <w:jc w:val="both"/>
      </w:pPr>
      <w:r>
        <w:t>Inclusion of the patient (and their family where possible)</w:t>
      </w:r>
    </w:p>
    <w:p w14:paraId="1C782AB4" w14:textId="7C7F1817" w:rsidR="001F54CF" w:rsidRDefault="001F54CF" w:rsidP="001F54CF">
      <w:pPr>
        <w:pStyle w:val="ListParagraph"/>
        <w:numPr>
          <w:ilvl w:val="0"/>
          <w:numId w:val="6"/>
        </w:numPr>
        <w:spacing w:line="360" w:lineRule="auto"/>
        <w:jc w:val="both"/>
      </w:pPr>
      <w:r>
        <w:t>Involvement of the cardiology or heart failure consultant</w:t>
      </w:r>
    </w:p>
    <w:p w14:paraId="45045A9A" w14:textId="11EE1522" w:rsidR="001F54CF" w:rsidRDefault="001F54CF" w:rsidP="001F54CF">
      <w:pPr>
        <w:pStyle w:val="ListParagraph"/>
        <w:numPr>
          <w:ilvl w:val="0"/>
          <w:numId w:val="6"/>
        </w:numPr>
        <w:spacing w:line="360" w:lineRule="auto"/>
        <w:jc w:val="both"/>
      </w:pPr>
      <w:r>
        <w:t>Agreement among members of the multidisciplinary</w:t>
      </w:r>
      <w:r w:rsidR="00D152E7">
        <w:t xml:space="preserve"> </w:t>
      </w:r>
      <w:r>
        <w:t>team</w:t>
      </w:r>
    </w:p>
    <w:p w14:paraId="5AD241B7" w14:textId="7C99FD7F" w:rsidR="001F54CF" w:rsidRDefault="001F54CF" w:rsidP="001F54CF">
      <w:pPr>
        <w:pStyle w:val="ListParagraph"/>
        <w:numPr>
          <w:ilvl w:val="0"/>
          <w:numId w:val="6"/>
        </w:numPr>
        <w:spacing w:line="360" w:lineRule="auto"/>
        <w:jc w:val="both"/>
      </w:pPr>
      <w:r>
        <w:lastRenderedPageBreak/>
        <w:t>Communication of the decision with healthcare</w:t>
      </w:r>
      <w:r w:rsidR="00D152E7">
        <w:t xml:space="preserve"> </w:t>
      </w:r>
      <w:r>
        <w:t>professionals across the whole care pathway</w:t>
      </w:r>
    </w:p>
    <w:p w14:paraId="58EB8C6B" w14:textId="77777777" w:rsidR="00D152E7" w:rsidRDefault="001F54CF" w:rsidP="001F54CF">
      <w:pPr>
        <w:pStyle w:val="ListParagraph"/>
        <w:numPr>
          <w:ilvl w:val="0"/>
          <w:numId w:val="6"/>
        </w:numPr>
        <w:spacing w:line="360" w:lineRule="auto"/>
        <w:jc w:val="both"/>
      </w:pPr>
      <w:r>
        <w:t>For patients with advanced heart failure, pre-emptive</w:t>
      </w:r>
      <w:r w:rsidR="00D152E7">
        <w:t xml:space="preserve"> </w:t>
      </w:r>
      <w:r>
        <w:t>discussion in the outpatient setting of treatments that</w:t>
      </w:r>
      <w:r w:rsidR="00D152E7">
        <w:t xml:space="preserve"> </w:t>
      </w:r>
      <w:r>
        <w:t>would not be beneficial, along with consideration of</w:t>
      </w:r>
      <w:r w:rsidR="00D152E7">
        <w:t xml:space="preserve"> palliative care needs, to</w:t>
      </w:r>
      <w:r>
        <w:t xml:space="preserve"> prevent unnecessary admissions. </w:t>
      </w:r>
    </w:p>
    <w:p w14:paraId="1E5BADF3" w14:textId="6805AFA8" w:rsidR="00024EAA" w:rsidRDefault="001F54CF" w:rsidP="00455FC4">
      <w:pPr>
        <w:pStyle w:val="ListParagraph"/>
        <w:numPr>
          <w:ilvl w:val="0"/>
          <w:numId w:val="6"/>
        </w:numPr>
        <w:spacing w:line="360" w:lineRule="auto"/>
        <w:jc w:val="both"/>
      </w:pPr>
      <w:r>
        <w:t>Escalation decisions should</w:t>
      </w:r>
      <w:r w:rsidR="00D152E7">
        <w:t xml:space="preserve"> </w:t>
      </w:r>
      <w:r>
        <w:t>be reviewed at the time of all admissions with acute heart</w:t>
      </w:r>
      <w:r w:rsidR="00D152E7">
        <w:t xml:space="preserve"> failure. </w:t>
      </w:r>
    </w:p>
    <w:p w14:paraId="228C4CD6" w14:textId="77777777" w:rsidR="0031463F" w:rsidRDefault="0031463F"/>
    <w:p w14:paraId="7CAE2965" w14:textId="77777777" w:rsidR="00D51AFA" w:rsidRPr="00D51AFA" w:rsidRDefault="00D51AFA">
      <w:pPr>
        <w:rPr>
          <w:b/>
          <w:sz w:val="24"/>
          <w:szCs w:val="24"/>
        </w:rPr>
      </w:pPr>
      <w:r w:rsidRPr="00D51AFA">
        <w:rPr>
          <w:b/>
          <w:sz w:val="24"/>
          <w:szCs w:val="24"/>
        </w:rPr>
        <w:t>National guidance and reports</w:t>
      </w:r>
    </w:p>
    <w:p w14:paraId="34029A13" w14:textId="0C7DE6FA" w:rsidR="00677E9B" w:rsidRPr="00677E9B" w:rsidRDefault="00677E9B" w:rsidP="00677E9B">
      <w:r w:rsidRPr="00677E9B">
        <w:t>NICE. Quality Standard 103. Acute Heart Failure.</w:t>
      </w:r>
      <w:r>
        <w:t xml:space="preserve"> </w:t>
      </w:r>
      <w:r w:rsidRPr="00677E9B">
        <w:t xml:space="preserve">Published December 2015. </w:t>
      </w:r>
      <w:hyperlink r:id="rId10" w:history="1">
        <w:r w:rsidR="00597DAB" w:rsidRPr="00801889">
          <w:rPr>
            <w:rStyle w:val="Hyperlink"/>
          </w:rPr>
          <w:t>https://www.nice.org.uk/guidance/qs103</w:t>
        </w:r>
      </w:hyperlink>
      <w:r w:rsidR="00597DAB">
        <w:t xml:space="preserve"> </w:t>
      </w:r>
    </w:p>
    <w:p w14:paraId="5ED0640F" w14:textId="32AC67EC" w:rsidR="00677E9B" w:rsidRPr="00677E9B" w:rsidRDefault="00677E9B" w:rsidP="00677E9B">
      <w:r w:rsidRPr="00677E9B">
        <w:t>National Institute for Cardiovascular Outcomes Research</w:t>
      </w:r>
      <w:r>
        <w:t xml:space="preserve"> </w:t>
      </w:r>
      <w:r w:rsidRPr="00677E9B">
        <w:t xml:space="preserve">(NICOR). 2017. National Heart Failure Audit </w:t>
      </w:r>
      <w:hyperlink r:id="rId11" w:history="1">
        <w:r w:rsidR="00784E73" w:rsidRPr="00B05A55">
          <w:rPr>
            <w:rStyle w:val="Hyperlink"/>
          </w:rPr>
          <w:t>http://www.ucl.ac.uk/nicor/audits/heartfailure/documents/annualreports/annual-report-2015-6-v8.pdf</w:t>
        </w:r>
      </w:hyperlink>
      <w:r w:rsidR="00784E73">
        <w:t xml:space="preserve"> </w:t>
      </w:r>
    </w:p>
    <w:p w14:paraId="1DE9324E" w14:textId="68A8EE6B" w:rsidR="00677E9B" w:rsidRPr="00677E9B" w:rsidRDefault="00677E9B" w:rsidP="00677E9B">
      <w:r w:rsidRPr="00677E9B">
        <w:t>NICE. Chronic heart failure in adults: management.</w:t>
      </w:r>
      <w:r>
        <w:t xml:space="preserve"> </w:t>
      </w:r>
      <w:r w:rsidRPr="00677E9B">
        <w:t>Clinical guideline [CG108]. Published August 2010.</w:t>
      </w:r>
      <w:r>
        <w:t xml:space="preserve"> </w:t>
      </w:r>
      <w:hyperlink r:id="rId12" w:history="1">
        <w:r w:rsidR="00784E73" w:rsidRPr="00B05A55">
          <w:rPr>
            <w:rStyle w:val="Hyperlink"/>
          </w:rPr>
          <w:t>https://www.nice.org.uk/guidance/cg108</w:t>
        </w:r>
      </w:hyperlink>
      <w:r w:rsidR="00784E73">
        <w:t xml:space="preserve"> </w:t>
      </w:r>
    </w:p>
    <w:p w14:paraId="33DBB526" w14:textId="7AD74F15" w:rsidR="00677E9B" w:rsidRPr="00677E9B" w:rsidRDefault="00677E9B" w:rsidP="00677E9B">
      <w:r w:rsidRPr="00677E9B">
        <w:t>NICE. Acute heart failure: diagnosis and management.</w:t>
      </w:r>
      <w:r>
        <w:t xml:space="preserve"> </w:t>
      </w:r>
      <w:r w:rsidRPr="00677E9B">
        <w:t>Clinical guideline [CG187] Published date: October 2014</w:t>
      </w:r>
      <w:r>
        <w:t xml:space="preserve"> </w:t>
      </w:r>
      <w:hyperlink r:id="rId13" w:history="1">
        <w:r w:rsidR="00784E73" w:rsidRPr="00B05A55">
          <w:rPr>
            <w:rStyle w:val="Hyperlink"/>
          </w:rPr>
          <w:t>https://www.nice.org.uk/guidance/cg187</w:t>
        </w:r>
      </w:hyperlink>
      <w:r w:rsidR="00784E73">
        <w:t xml:space="preserve"> </w:t>
      </w:r>
    </w:p>
    <w:p w14:paraId="337376F9" w14:textId="1DD07751" w:rsidR="00D51AFA" w:rsidRDefault="00677E9B" w:rsidP="00677E9B">
      <w:r w:rsidRPr="00677E9B">
        <w:t>Mcdonagh TA, Blue L and Clark AL et al. European</w:t>
      </w:r>
      <w:r>
        <w:t xml:space="preserve"> </w:t>
      </w:r>
      <w:r w:rsidRPr="00677E9B">
        <w:t>Society of Cardiology Heart Failure Association Standards</w:t>
      </w:r>
      <w:r>
        <w:t xml:space="preserve"> </w:t>
      </w:r>
      <w:r w:rsidRPr="00677E9B">
        <w:t>for Delivering Heart Failure Care. European Journal of</w:t>
      </w:r>
      <w:r>
        <w:t xml:space="preserve"> </w:t>
      </w:r>
      <w:r w:rsidRPr="00677E9B">
        <w:t>Heart Failure. 2011: 13(3); 235-241</w:t>
      </w:r>
    </w:p>
    <w:p w14:paraId="61614A1F" w14:textId="201A53C0" w:rsidR="00784E73" w:rsidRDefault="00784E73" w:rsidP="00784E73">
      <w:r w:rsidRPr="00784E73">
        <w:t>National Audit of Cardiac Rehabilitation (NACR) Annual</w:t>
      </w:r>
      <w:r>
        <w:t xml:space="preserve"> </w:t>
      </w:r>
      <w:r w:rsidRPr="00784E73">
        <w:t>Statistical Report 2017.</w:t>
      </w:r>
      <w:r>
        <w:t xml:space="preserve">  </w:t>
      </w:r>
      <w:hyperlink r:id="rId14" w:history="1">
        <w:r w:rsidRPr="00B05A55">
          <w:rPr>
            <w:rStyle w:val="Hyperlink"/>
          </w:rPr>
          <w:t>https://www.bhf.org.uk/publications/statistics/nationalaudit-of-cardiac-rehabilitation-annual-statisticalreport-2017</w:t>
        </w:r>
      </w:hyperlink>
    </w:p>
    <w:p w14:paraId="2F2C16D3" w14:textId="0AB9EBC8" w:rsidR="00784E73" w:rsidRDefault="00784E73" w:rsidP="00784E73">
      <w:r w:rsidRPr="00784E73">
        <w:t>The Criteria Committee of the New York Heart</w:t>
      </w:r>
      <w:r>
        <w:t xml:space="preserve"> </w:t>
      </w:r>
      <w:r w:rsidRPr="00784E73">
        <w:t>Association. (1994). Nomenclature and Criteria for</w:t>
      </w:r>
      <w:r>
        <w:t xml:space="preserve"> </w:t>
      </w:r>
      <w:r w:rsidRPr="00784E73">
        <w:t>Diagnosis of Diseases of the Heart and Great Vessels (9</w:t>
      </w:r>
      <w:r w:rsidRPr="00784E73">
        <w:rPr>
          <w:vertAlign w:val="superscript"/>
        </w:rPr>
        <w:t>th</w:t>
      </w:r>
      <w:r>
        <w:t xml:space="preserve"> </w:t>
      </w:r>
      <w:proofErr w:type="gramStart"/>
      <w:r w:rsidRPr="00784E73">
        <w:t>ed</w:t>
      </w:r>
      <w:proofErr w:type="gramEnd"/>
      <w:r w:rsidRPr="00784E73">
        <w:t>.). Boston: Little, Brown &amp; Co. 253</w:t>
      </w:r>
      <w:r w:rsidRPr="00784E73">
        <w:rPr>
          <w:rFonts w:hint="eastAsia"/>
        </w:rPr>
        <w:t>–</w:t>
      </w:r>
      <w:r w:rsidRPr="00784E73">
        <w:t>256</w:t>
      </w:r>
    </w:p>
    <w:p w14:paraId="6C82ABC7" w14:textId="55F9C3DE" w:rsidR="00784E73" w:rsidRPr="00784E73" w:rsidRDefault="00784E73" w:rsidP="00784E73">
      <w:proofErr w:type="spellStart"/>
      <w:r w:rsidRPr="00784E73">
        <w:t>Ponikowski</w:t>
      </w:r>
      <w:proofErr w:type="spellEnd"/>
      <w:r w:rsidRPr="00784E73">
        <w:t xml:space="preserve"> P, </w:t>
      </w:r>
      <w:proofErr w:type="spellStart"/>
      <w:r w:rsidRPr="00784E73">
        <w:t>Voors</w:t>
      </w:r>
      <w:proofErr w:type="spellEnd"/>
      <w:r w:rsidRPr="00784E73">
        <w:t xml:space="preserve"> AA and Anker SD et al. ESC</w:t>
      </w:r>
      <w:r>
        <w:t xml:space="preserve"> </w:t>
      </w:r>
      <w:r w:rsidRPr="00784E73">
        <w:t>Guidelines for the diagnosis and treatment of acute and</w:t>
      </w:r>
      <w:r>
        <w:t xml:space="preserve"> </w:t>
      </w:r>
      <w:r w:rsidRPr="00784E73">
        <w:t>chronic heart failure: The Task Force for the diagnosis</w:t>
      </w:r>
      <w:r>
        <w:t xml:space="preserve"> </w:t>
      </w:r>
      <w:r w:rsidRPr="00784E73">
        <w:t>and treatment of acute and chronic heart failure of the</w:t>
      </w:r>
      <w:r>
        <w:t xml:space="preserve"> </w:t>
      </w:r>
      <w:r w:rsidRPr="00784E73">
        <w:t>European Society of Cardiology (ESC)</w:t>
      </w:r>
      <w:r w:rsidR="002A3DDB">
        <w:t>.</w:t>
      </w:r>
      <w:r w:rsidRPr="00784E73">
        <w:t xml:space="preserve"> European Heart Journal. 2016: 37</w:t>
      </w:r>
      <w:r>
        <w:t xml:space="preserve"> </w:t>
      </w:r>
      <w:r w:rsidRPr="00784E73">
        <w:t>(27); 2129</w:t>
      </w:r>
      <w:r w:rsidRPr="00784E73">
        <w:rPr>
          <w:rFonts w:hint="eastAsia"/>
        </w:rPr>
        <w:t>–</w:t>
      </w:r>
      <w:r w:rsidRPr="00784E73">
        <w:t xml:space="preserve">2200 </w:t>
      </w:r>
      <w:hyperlink r:id="rId15" w:history="1">
        <w:r w:rsidRPr="00B05A55">
          <w:rPr>
            <w:rStyle w:val="Hyperlink"/>
          </w:rPr>
          <w:t>https://doi.org/10.1093/eurheartj/ehw128</w:t>
        </w:r>
      </w:hyperlink>
      <w:r>
        <w:t xml:space="preserve"> </w:t>
      </w:r>
    </w:p>
    <w:p w14:paraId="19971EC4" w14:textId="35E12312" w:rsidR="00784E73" w:rsidRDefault="00784E73" w:rsidP="00784E73">
      <w:r w:rsidRPr="00784E73">
        <w:t>Society for Acute Medicine Benchmarking Audit</w:t>
      </w:r>
      <w:r>
        <w:t xml:space="preserve"> </w:t>
      </w:r>
      <w:r w:rsidRPr="00784E73">
        <w:t xml:space="preserve">SAMBA17 Report. 2017. Against the Clock </w:t>
      </w:r>
      <w:r w:rsidRPr="00784E73">
        <w:rPr>
          <w:rFonts w:hint="eastAsia"/>
        </w:rPr>
        <w:t>–</w:t>
      </w:r>
      <w:r w:rsidRPr="00784E73">
        <w:t xml:space="preserve"> Time for</w:t>
      </w:r>
      <w:r>
        <w:t xml:space="preserve"> </w:t>
      </w:r>
      <w:r w:rsidRPr="00784E73">
        <w:t>Patients - A National Audit of Acute Medical Care in the</w:t>
      </w:r>
      <w:r>
        <w:t xml:space="preserve"> </w:t>
      </w:r>
      <w:r w:rsidRPr="00784E73">
        <w:t>UK.</w:t>
      </w:r>
      <w:r w:rsidR="00597DAB">
        <w:t xml:space="preserve">  </w:t>
      </w:r>
      <w:hyperlink r:id="rId16" w:history="1">
        <w:r w:rsidR="00597DAB" w:rsidRPr="00801889">
          <w:rPr>
            <w:rStyle w:val="Hyperlink"/>
          </w:rPr>
          <w:t>http://www.acutemedicine.org.uk/wp-content/uploads/2017/12/Society-for-Acute-Medicine-Benchmarking-Audit-2017-National-Report.pdf</w:t>
        </w:r>
      </w:hyperlink>
      <w:r w:rsidR="00597DAB">
        <w:t xml:space="preserve"> </w:t>
      </w:r>
    </w:p>
    <w:p w14:paraId="5EE99711" w14:textId="48820A5F" w:rsidR="00784E73" w:rsidRDefault="00784E73" w:rsidP="00784E73">
      <w:r w:rsidRPr="00784E73">
        <w:t xml:space="preserve">JRCALC Clinical Practice Guidelines 2016. </w:t>
      </w:r>
      <w:hyperlink r:id="rId17" w:history="1">
        <w:r w:rsidRPr="00B05A55">
          <w:rPr>
            <w:rStyle w:val="Hyperlink"/>
          </w:rPr>
          <w:t>https://www.jrcalc.org.uk/guidelines/</w:t>
        </w:r>
      </w:hyperlink>
    </w:p>
    <w:p w14:paraId="5D104D4E" w14:textId="7A98A431" w:rsidR="00784E73" w:rsidRDefault="00784E73" w:rsidP="00784E73">
      <w:r w:rsidRPr="00784E73">
        <w:t>NICE. Clinical Guideline 50. Acutely ill patients in</w:t>
      </w:r>
      <w:r>
        <w:t xml:space="preserve"> </w:t>
      </w:r>
      <w:r w:rsidRPr="00784E73">
        <w:t xml:space="preserve">hospital. Published July 2007. </w:t>
      </w:r>
      <w:hyperlink r:id="rId18" w:history="1">
        <w:r w:rsidRPr="00B05A55">
          <w:rPr>
            <w:rStyle w:val="Hyperlink"/>
          </w:rPr>
          <w:t>https://www.nice.org.uk/guidance/cg50/resources/cg50-acutely-ill-patients-inhospital-full-guideline3</w:t>
        </w:r>
      </w:hyperlink>
    </w:p>
    <w:p w14:paraId="6C657E2C" w14:textId="3548FAE3" w:rsidR="00784E73" w:rsidRPr="00AE0602" w:rsidRDefault="00784E73" w:rsidP="00677E9B">
      <w:r w:rsidRPr="00784E73">
        <w:t>Royal College of Physicians. National Early Warning Score</w:t>
      </w:r>
      <w:r>
        <w:t xml:space="preserve"> </w:t>
      </w:r>
      <w:r w:rsidRPr="00784E73">
        <w:t xml:space="preserve">(NEWS). </w:t>
      </w:r>
      <w:hyperlink r:id="rId19" w:history="1">
        <w:r w:rsidRPr="00B05A55">
          <w:rPr>
            <w:rStyle w:val="Hyperlink"/>
          </w:rPr>
          <w:t>https://www.rcplondon.ac.uk/projects/outputs/national-early-warning-score-news-2</w:t>
        </w:r>
      </w:hyperlink>
    </w:p>
    <w:sectPr w:rsidR="00784E73" w:rsidRPr="00AE0602" w:rsidSect="00AE0602">
      <w:headerReference w:type="default" r:id="rId2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CF8F3" w14:textId="77777777" w:rsidR="00383FD2" w:rsidRDefault="00383FD2" w:rsidP="00AE0602">
      <w:pPr>
        <w:spacing w:after="0" w:line="240" w:lineRule="auto"/>
      </w:pPr>
      <w:r>
        <w:separator/>
      </w:r>
    </w:p>
  </w:endnote>
  <w:endnote w:type="continuationSeparator" w:id="0">
    <w:p w14:paraId="7FF02E7D" w14:textId="77777777" w:rsidR="00383FD2" w:rsidRDefault="00383FD2" w:rsidP="00AE0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9598279"/>
      <w:docPartObj>
        <w:docPartGallery w:val="Page Numbers (Bottom of Page)"/>
        <w:docPartUnique/>
      </w:docPartObj>
    </w:sdtPr>
    <w:sdtEndPr>
      <w:rPr>
        <w:noProof/>
      </w:rPr>
    </w:sdtEndPr>
    <w:sdtContent>
      <w:p w14:paraId="525F5F0C" w14:textId="16B2B14D" w:rsidR="00024EAA" w:rsidRDefault="00024EAA">
        <w:pPr>
          <w:pStyle w:val="Footer"/>
          <w:jc w:val="center"/>
        </w:pPr>
        <w:r>
          <w:fldChar w:fldCharType="begin"/>
        </w:r>
        <w:r>
          <w:instrText xml:space="preserve"> PAGE   \* MERGEFORMAT </w:instrText>
        </w:r>
        <w:r>
          <w:fldChar w:fldCharType="separate"/>
        </w:r>
        <w:r w:rsidR="00603389">
          <w:rPr>
            <w:noProof/>
          </w:rPr>
          <w:t>4</w:t>
        </w:r>
        <w:r>
          <w:rPr>
            <w:noProof/>
          </w:rPr>
          <w:fldChar w:fldCharType="end"/>
        </w:r>
      </w:p>
    </w:sdtContent>
  </w:sdt>
  <w:p w14:paraId="49D70B3E" w14:textId="77777777" w:rsidR="00024EAA" w:rsidRDefault="00024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108E1" w14:textId="77777777" w:rsidR="00383FD2" w:rsidRDefault="00383FD2" w:rsidP="00AE0602">
      <w:pPr>
        <w:spacing w:after="0" w:line="240" w:lineRule="auto"/>
      </w:pPr>
      <w:r>
        <w:separator/>
      </w:r>
    </w:p>
  </w:footnote>
  <w:footnote w:type="continuationSeparator" w:id="0">
    <w:p w14:paraId="4555F34A" w14:textId="77777777" w:rsidR="00383FD2" w:rsidRDefault="00383FD2" w:rsidP="00AE0602">
      <w:pPr>
        <w:spacing w:after="0" w:line="240" w:lineRule="auto"/>
      </w:pPr>
      <w:r>
        <w:continuationSeparator/>
      </w:r>
    </w:p>
  </w:footnote>
  <w:footnote w:id="1">
    <w:p w14:paraId="27AD9CA0" w14:textId="76D3DA86" w:rsidR="00E4315F" w:rsidRDefault="00E4315F">
      <w:pPr>
        <w:pStyle w:val="FootnoteText"/>
      </w:pPr>
      <w:r>
        <w:rPr>
          <w:rStyle w:val="FootnoteReference"/>
        </w:rPr>
        <w:footnoteRef/>
      </w:r>
      <w:r>
        <w:t xml:space="preserve"> </w:t>
      </w:r>
      <w:r w:rsidRPr="00E4315F">
        <w:t>National Heart Failure Audit Annual Report.  April 2015 – March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14628" w14:textId="77777777" w:rsidR="00C86EE4" w:rsidRDefault="00D51AFA" w:rsidP="00AE0602">
    <w:pPr>
      <w:pStyle w:val="Header"/>
      <w:jc w:val="center"/>
      <w:rPr>
        <w:b/>
        <w:sz w:val="32"/>
        <w:szCs w:val="32"/>
      </w:rPr>
    </w:pPr>
    <w:r w:rsidRPr="00D51AFA">
      <w:rPr>
        <w:b/>
        <w:noProof/>
        <w:sz w:val="32"/>
        <w:szCs w:val="32"/>
        <w:lang w:eastAsia="en-GB"/>
      </w:rPr>
      <mc:AlternateContent>
        <mc:Choice Requires="wps">
          <w:drawing>
            <wp:anchor distT="45720" distB="45720" distL="114300" distR="114300" simplePos="0" relativeHeight="251659264" behindDoc="0" locked="0" layoutInCell="1" allowOverlap="1" wp14:anchorId="2F051431" wp14:editId="70E4684D">
              <wp:simplePos x="0" y="0"/>
              <wp:positionH relativeFrom="column">
                <wp:posOffset>4933950</wp:posOffset>
              </wp:positionH>
              <wp:positionV relativeFrom="paragraph">
                <wp:posOffset>-392430</wp:posOffset>
              </wp:positionV>
              <wp:extent cx="1685925" cy="1404620"/>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404620"/>
                      </a:xfrm>
                      <a:prstGeom prst="rect">
                        <a:avLst/>
                      </a:prstGeom>
                      <a:solidFill>
                        <a:srgbClr val="FFFFFF"/>
                      </a:solidFill>
                      <a:ln w="9525">
                        <a:noFill/>
                        <a:miter lim="800000"/>
                        <a:headEnd/>
                        <a:tailEnd/>
                      </a:ln>
                    </wps:spPr>
                    <wps:txbx>
                      <w:txbxContent>
                        <w:p w14:paraId="05823D46" w14:textId="77777777" w:rsidR="00D51AFA" w:rsidRDefault="00D51AFA">
                          <w:r w:rsidRPr="002E470C">
                            <w:rPr>
                              <w:noProof/>
                              <w:lang w:eastAsia="en-GB"/>
                            </w:rPr>
                            <w:drawing>
                              <wp:inline distT="0" distB="0" distL="0" distR="0" wp14:anchorId="00D79610" wp14:editId="69A4883A">
                                <wp:extent cx="1344930" cy="480060"/>
                                <wp:effectExtent l="19050" t="0" r="7620" b="0"/>
                                <wp:docPr id="2" name="Picture 2" descr="Letterhea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1.jpg"/>
                                        <pic:cNvPicPr/>
                                      </pic:nvPicPr>
                                      <pic:blipFill>
                                        <a:blip r:embed="rId1"/>
                                        <a:srcRect r="34878" b="56446"/>
                                        <a:stretch>
                                          <a:fillRect/>
                                        </a:stretch>
                                      </pic:blipFill>
                                      <pic:spPr>
                                        <a:xfrm>
                                          <a:off x="0" y="0"/>
                                          <a:ext cx="1344930" cy="48006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051431" id="_x0000_t202" coordsize="21600,21600" o:spt="202" path="m,l,21600r21600,l21600,xe">
              <v:stroke joinstyle="miter"/>
              <v:path gradientshapeok="t" o:connecttype="rect"/>
            </v:shapetype>
            <v:shape id="Text Box 2" o:spid="_x0000_s1026" type="#_x0000_t202" style="position:absolute;left:0;text-align:left;margin-left:388.5pt;margin-top:-30.9pt;width:132.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" stroked="f">
              <v:textbox style="mso-fit-shape-to-text:t">
                <w:txbxContent>
                  <w:p w14:paraId="05823D46" w14:textId="77777777" w:rsidR="00D51AFA" w:rsidRDefault="00D51AFA">
                    <w:r w:rsidRPr="002E470C">
                      <w:rPr>
                        <w:noProof/>
                        <w:lang w:eastAsia="en-GB"/>
                      </w:rPr>
                      <w:drawing>
                        <wp:inline distT="0" distB="0" distL="0" distR="0" wp14:anchorId="00D79610" wp14:editId="69A4883A">
                          <wp:extent cx="1344930" cy="480060"/>
                          <wp:effectExtent l="19050" t="0" r="7620" b="0"/>
                          <wp:docPr id="2" name="Picture 2" descr="Letterhea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1.jpg"/>
                                  <pic:cNvPicPr/>
                                </pic:nvPicPr>
                                <pic:blipFill>
                                  <a:blip r:embed="rId2"/>
                                  <a:srcRect r="34878" b="56446"/>
                                  <a:stretch>
                                    <a:fillRect/>
                                  </a:stretch>
                                </pic:blipFill>
                                <pic:spPr>
                                  <a:xfrm>
                                    <a:off x="0" y="0"/>
                                    <a:ext cx="1344930" cy="480060"/>
                                  </a:xfrm>
                                  <a:prstGeom prst="rect">
                                    <a:avLst/>
                                  </a:prstGeom>
                                </pic:spPr>
                              </pic:pic>
                            </a:graphicData>
                          </a:graphic>
                        </wp:inline>
                      </w:drawing>
                    </w:r>
                  </w:p>
                </w:txbxContent>
              </v:textbox>
              <w10:wrap type="square"/>
            </v:shape>
          </w:pict>
        </mc:Fallback>
      </mc:AlternateContent>
    </w:r>
    <w:r w:rsidR="00AE0602" w:rsidRPr="00AE0602">
      <w:rPr>
        <w:b/>
        <w:sz w:val="32"/>
        <w:szCs w:val="32"/>
      </w:rPr>
      <w:t xml:space="preserve">Commissioner’s Guide to NCEPOD Report </w:t>
    </w:r>
  </w:p>
  <w:p w14:paraId="7141CC86" w14:textId="7135A987" w:rsidR="00AE0602" w:rsidRPr="00AE0602" w:rsidRDefault="00C749FB" w:rsidP="00AE0602">
    <w:pPr>
      <w:pStyle w:val="Header"/>
      <w:jc w:val="center"/>
      <w:rPr>
        <w:b/>
        <w:sz w:val="32"/>
        <w:szCs w:val="32"/>
      </w:rPr>
    </w:pPr>
    <w:r>
      <w:rPr>
        <w:b/>
        <w:sz w:val="32"/>
        <w:szCs w:val="32"/>
      </w:rPr>
      <w:t>Failure to Function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055C4" w14:textId="77777777" w:rsidR="00D51AFA" w:rsidRPr="00D51AFA" w:rsidRDefault="00D51AFA" w:rsidP="00D51A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D2F51"/>
    <w:multiLevelType w:val="hybridMultilevel"/>
    <w:tmpl w:val="16B22EF2"/>
    <w:lvl w:ilvl="0" w:tplc="08090001">
      <w:start w:val="1"/>
      <w:numFmt w:val="bullet"/>
      <w:lvlText w:val=""/>
      <w:lvlJc w:val="left"/>
      <w:pPr>
        <w:ind w:left="720" w:hanging="360"/>
      </w:pPr>
      <w:rPr>
        <w:rFonts w:ascii="Symbol" w:hAnsi="Symbol" w:hint="default"/>
      </w:rPr>
    </w:lvl>
    <w:lvl w:ilvl="1" w:tplc="D206DD40">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C4A2E"/>
    <w:multiLevelType w:val="hybridMultilevel"/>
    <w:tmpl w:val="22626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C21253"/>
    <w:multiLevelType w:val="hybridMultilevel"/>
    <w:tmpl w:val="57582C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2E080E"/>
    <w:multiLevelType w:val="hybridMultilevel"/>
    <w:tmpl w:val="4FFAB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5041B3"/>
    <w:multiLevelType w:val="hybridMultilevel"/>
    <w:tmpl w:val="6A325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6B0B41"/>
    <w:multiLevelType w:val="hybridMultilevel"/>
    <w:tmpl w:val="CFA227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847"/>
    <w:rsid w:val="00014BCC"/>
    <w:rsid w:val="00022A6E"/>
    <w:rsid w:val="00024EAA"/>
    <w:rsid w:val="000271E1"/>
    <w:rsid w:val="00045DF6"/>
    <w:rsid w:val="000A4129"/>
    <w:rsid w:val="000B0A7D"/>
    <w:rsid w:val="000E7AAA"/>
    <w:rsid w:val="00105A82"/>
    <w:rsid w:val="00140518"/>
    <w:rsid w:val="00161C4E"/>
    <w:rsid w:val="00174DA4"/>
    <w:rsid w:val="00184BE2"/>
    <w:rsid w:val="00187311"/>
    <w:rsid w:val="001D57DD"/>
    <w:rsid w:val="001F54CF"/>
    <w:rsid w:val="001F64BE"/>
    <w:rsid w:val="0020386A"/>
    <w:rsid w:val="002202A3"/>
    <w:rsid w:val="00234B93"/>
    <w:rsid w:val="00235403"/>
    <w:rsid w:val="002659FD"/>
    <w:rsid w:val="00265A59"/>
    <w:rsid w:val="002761F7"/>
    <w:rsid w:val="002A3DDB"/>
    <w:rsid w:val="002E6075"/>
    <w:rsid w:val="0031463F"/>
    <w:rsid w:val="003251C2"/>
    <w:rsid w:val="00343E3E"/>
    <w:rsid w:val="00357EA4"/>
    <w:rsid w:val="00362BA9"/>
    <w:rsid w:val="003721D3"/>
    <w:rsid w:val="00383FD2"/>
    <w:rsid w:val="003F6F42"/>
    <w:rsid w:val="00436142"/>
    <w:rsid w:val="00455FC4"/>
    <w:rsid w:val="00487259"/>
    <w:rsid w:val="004A6125"/>
    <w:rsid w:val="004B7CBB"/>
    <w:rsid w:val="004D1E6F"/>
    <w:rsid w:val="004E3A6B"/>
    <w:rsid w:val="004F1F5F"/>
    <w:rsid w:val="004F7F52"/>
    <w:rsid w:val="005165F9"/>
    <w:rsid w:val="00582806"/>
    <w:rsid w:val="00597DAB"/>
    <w:rsid w:val="00603389"/>
    <w:rsid w:val="006167F9"/>
    <w:rsid w:val="00627417"/>
    <w:rsid w:val="006527AD"/>
    <w:rsid w:val="00677E9B"/>
    <w:rsid w:val="006A4EFB"/>
    <w:rsid w:val="006E3630"/>
    <w:rsid w:val="006E7604"/>
    <w:rsid w:val="006F6044"/>
    <w:rsid w:val="00703357"/>
    <w:rsid w:val="00711B73"/>
    <w:rsid w:val="00727326"/>
    <w:rsid w:val="007338F0"/>
    <w:rsid w:val="00741B20"/>
    <w:rsid w:val="00756386"/>
    <w:rsid w:val="00784E73"/>
    <w:rsid w:val="007B6D16"/>
    <w:rsid w:val="00810E16"/>
    <w:rsid w:val="00820C6D"/>
    <w:rsid w:val="00847F89"/>
    <w:rsid w:val="00874F25"/>
    <w:rsid w:val="0090398F"/>
    <w:rsid w:val="009041B5"/>
    <w:rsid w:val="00912770"/>
    <w:rsid w:val="009509B2"/>
    <w:rsid w:val="00955995"/>
    <w:rsid w:val="00956F90"/>
    <w:rsid w:val="00970F19"/>
    <w:rsid w:val="009B2B86"/>
    <w:rsid w:val="009D7BFE"/>
    <w:rsid w:val="009F5602"/>
    <w:rsid w:val="00A36900"/>
    <w:rsid w:val="00A53F21"/>
    <w:rsid w:val="00A66038"/>
    <w:rsid w:val="00A75B69"/>
    <w:rsid w:val="00A95F3D"/>
    <w:rsid w:val="00AA3A5E"/>
    <w:rsid w:val="00AE0602"/>
    <w:rsid w:val="00AE3364"/>
    <w:rsid w:val="00AE7F16"/>
    <w:rsid w:val="00B4292B"/>
    <w:rsid w:val="00B7244A"/>
    <w:rsid w:val="00B904AA"/>
    <w:rsid w:val="00BC442B"/>
    <w:rsid w:val="00BE163D"/>
    <w:rsid w:val="00BE7889"/>
    <w:rsid w:val="00BF0F08"/>
    <w:rsid w:val="00C026D0"/>
    <w:rsid w:val="00C05847"/>
    <w:rsid w:val="00C37ACE"/>
    <w:rsid w:val="00C46E62"/>
    <w:rsid w:val="00C60085"/>
    <w:rsid w:val="00C749FB"/>
    <w:rsid w:val="00C86EE4"/>
    <w:rsid w:val="00C870B2"/>
    <w:rsid w:val="00C95812"/>
    <w:rsid w:val="00CE78AE"/>
    <w:rsid w:val="00D152E7"/>
    <w:rsid w:val="00D51AFA"/>
    <w:rsid w:val="00D5374C"/>
    <w:rsid w:val="00D56EA1"/>
    <w:rsid w:val="00DA1AE9"/>
    <w:rsid w:val="00DA6C02"/>
    <w:rsid w:val="00DE1ECC"/>
    <w:rsid w:val="00DF61AA"/>
    <w:rsid w:val="00E21FED"/>
    <w:rsid w:val="00E32407"/>
    <w:rsid w:val="00E34E1A"/>
    <w:rsid w:val="00E4315F"/>
    <w:rsid w:val="00E53BCB"/>
    <w:rsid w:val="00E76DFB"/>
    <w:rsid w:val="00E91298"/>
    <w:rsid w:val="00EA22A6"/>
    <w:rsid w:val="00EA7667"/>
    <w:rsid w:val="00EE0860"/>
    <w:rsid w:val="00EF56C5"/>
    <w:rsid w:val="00F06162"/>
    <w:rsid w:val="00F53F90"/>
    <w:rsid w:val="00F620AE"/>
    <w:rsid w:val="00F624DB"/>
    <w:rsid w:val="00F67869"/>
    <w:rsid w:val="00FA6FD0"/>
    <w:rsid w:val="00FB73DC"/>
    <w:rsid w:val="00FD09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8ADDF6B"/>
  <w15:chartTrackingRefBased/>
  <w15:docId w15:val="{4AAB97CA-DDD3-4C8B-9E25-DEA9A44B3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6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602"/>
  </w:style>
  <w:style w:type="paragraph" w:styleId="Footer">
    <w:name w:val="footer"/>
    <w:basedOn w:val="Normal"/>
    <w:link w:val="FooterChar"/>
    <w:uiPriority w:val="99"/>
    <w:unhideWhenUsed/>
    <w:rsid w:val="00AE06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602"/>
  </w:style>
  <w:style w:type="paragraph" w:styleId="BalloonText">
    <w:name w:val="Balloon Text"/>
    <w:basedOn w:val="Normal"/>
    <w:link w:val="BalloonTextChar"/>
    <w:uiPriority w:val="99"/>
    <w:semiHidden/>
    <w:unhideWhenUsed/>
    <w:rsid w:val="001D5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7DD"/>
    <w:rPr>
      <w:rFonts w:ascii="Segoe UI" w:hAnsi="Segoe UI" w:cs="Segoe UI"/>
      <w:sz w:val="18"/>
      <w:szCs w:val="18"/>
    </w:rPr>
  </w:style>
  <w:style w:type="paragraph" w:styleId="ListParagraph">
    <w:name w:val="List Paragraph"/>
    <w:basedOn w:val="Normal"/>
    <w:uiPriority w:val="34"/>
    <w:qFormat/>
    <w:rsid w:val="00820C6D"/>
    <w:pPr>
      <w:ind w:left="720"/>
      <w:contextualSpacing/>
    </w:pPr>
  </w:style>
  <w:style w:type="paragraph" w:styleId="EndnoteText">
    <w:name w:val="endnote text"/>
    <w:basedOn w:val="Normal"/>
    <w:link w:val="EndnoteTextChar"/>
    <w:uiPriority w:val="99"/>
    <w:semiHidden/>
    <w:unhideWhenUsed/>
    <w:rsid w:val="00EA766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7667"/>
    <w:rPr>
      <w:sz w:val="20"/>
      <w:szCs w:val="20"/>
    </w:rPr>
  </w:style>
  <w:style w:type="character" w:styleId="EndnoteReference">
    <w:name w:val="endnote reference"/>
    <w:basedOn w:val="DefaultParagraphFont"/>
    <w:uiPriority w:val="99"/>
    <w:semiHidden/>
    <w:unhideWhenUsed/>
    <w:rsid w:val="00EA7667"/>
    <w:rPr>
      <w:vertAlign w:val="superscript"/>
    </w:rPr>
  </w:style>
  <w:style w:type="character" w:styleId="Hyperlink">
    <w:name w:val="Hyperlink"/>
    <w:basedOn w:val="DefaultParagraphFont"/>
    <w:uiPriority w:val="99"/>
    <w:unhideWhenUsed/>
    <w:rsid w:val="00784E73"/>
    <w:rPr>
      <w:color w:val="0563C1" w:themeColor="hyperlink"/>
      <w:u w:val="single"/>
    </w:rPr>
  </w:style>
  <w:style w:type="paragraph" w:styleId="FootnoteText">
    <w:name w:val="footnote text"/>
    <w:basedOn w:val="Normal"/>
    <w:link w:val="FootnoteTextChar"/>
    <w:uiPriority w:val="99"/>
    <w:semiHidden/>
    <w:unhideWhenUsed/>
    <w:rsid w:val="00E431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315F"/>
    <w:rPr>
      <w:sz w:val="20"/>
      <w:szCs w:val="20"/>
    </w:rPr>
  </w:style>
  <w:style w:type="character" w:styleId="FootnoteReference">
    <w:name w:val="footnote reference"/>
    <w:basedOn w:val="DefaultParagraphFont"/>
    <w:uiPriority w:val="99"/>
    <w:semiHidden/>
    <w:unhideWhenUsed/>
    <w:rsid w:val="00E4315F"/>
    <w:rPr>
      <w:vertAlign w:val="superscript"/>
    </w:rPr>
  </w:style>
  <w:style w:type="character" w:styleId="FollowedHyperlink">
    <w:name w:val="FollowedHyperlink"/>
    <w:basedOn w:val="DefaultParagraphFont"/>
    <w:uiPriority w:val="99"/>
    <w:semiHidden/>
    <w:unhideWhenUsed/>
    <w:rsid w:val="00597D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79703">
      <w:bodyDiv w:val="1"/>
      <w:marLeft w:val="0"/>
      <w:marRight w:val="0"/>
      <w:marTop w:val="0"/>
      <w:marBottom w:val="0"/>
      <w:divBdr>
        <w:top w:val="none" w:sz="0" w:space="0" w:color="auto"/>
        <w:left w:val="none" w:sz="0" w:space="0" w:color="auto"/>
        <w:bottom w:val="none" w:sz="0" w:space="0" w:color="auto"/>
        <w:right w:val="none" w:sz="0" w:space="0" w:color="auto"/>
      </w:divBdr>
    </w:div>
    <w:div w:id="2067676432">
      <w:bodyDiv w:val="1"/>
      <w:marLeft w:val="0"/>
      <w:marRight w:val="0"/>
      <w:marTop w:val="0"/>
      <w:marBottom w:val="0"/>
      <w:divBdr>
        <w:top w:val="none" w:sz="0" w:space="0" w:color="auto"/>
        <w:left w:val="none" w:sz="0" w:space="0" w:color="auto"/>
        <w:bottom w:val="none" w:sz="0" w:space="0" w:color="auto"/>
        <w:right w:val="none" w:sz="0" w:space="0" w:color="auto"/>
      </w:divBdr>
    </w:div>
    <w:div w:id="211867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ice.org.uk/guidance/cg187" TargetMode="External"/><Relationship Id="rId18" Type="http://schemas.openxmlformats.org/officeDocument/2006/relationships/hyperlink" Target="https://www.nice.org.uk/guidance/cg50/resources/cg50-acutely-ill-patients-inhospital-full-guideline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ice.org.uk/guidance/cg108" TargetMode="External"/><Relationship Id="rId17" Type="http://schemas.openxmlformats.org/officeDocument/2006/relationships/hyperlink" Target="https://www.jrcalc.org.uk/guidelines/" TargetMode="External"/><Relationship Id="rId2" Type="http://schemas.openxmlformats.org/officeDocument/2006/relationships/numbering" Target="numbering.xml"/><Relationship Id="rId16" Type="http://schemas.openxmlformats.org/officeDocument/2006/relationships/hyperlink" Target="http://www.acutemedicine.org.uk/wp-content/uploads/2017/12/Society-for-Acute-Medicine-Benchmarking-Audit-2017-National-Report.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cl.ac.uk/nicor/audits/heartfailure/documents/annualreports/annual-report-2015-6-v8.pdf" TargetMode="External"/><Relationship Id="rId5" Type="http://schemas.openxmlformats.org/officeDocument/2006/relationships/webSettings" Target="webSettings.xml"/><Relationship Id="rId15" Type="http://schemas.openxmlformats.org/officeDocument/2006/relationships/hyperlink" Target="https://doi.org/10.1093/eurheartj/ehw128" TargetMode="External"/><Relationship Id="rId10" Type="http://schemas.openxmlformats.org/officeDocument/2006/relationships/hyperlink" Target="https://www.nice.org.uk/guidance/qs103" TargetMode="External"/><Relationship Id="rId19" Type="http://schemas.openxmlformats.org/officeDocument/2006/relationships/hyperlink" Target="https://www.rcplondon.ac.uk/projects/outputs/national-early-warning-score-news-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hf.org.uk/publications/statistics/nationalaudit-of-cardiac-rehabilitation-annual-statisticalreport-2017"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acleansteel\Documents\Custom%20Office%20Templates\Commissioners%20guid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61133-3C20-41A7-B748-57E6C7A9D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Commissioners guide template</Template>
  <TotalTime>301</TotalTime>
  <Pages>4</Pages>
  <Words>1462</Words>
  <Characters>8339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kmacleansteel</dc:creator>
  <cp:keywords/>
  <dc:description/>
  <cp:lastModifiedBy>Kirsty MacLean Steel</cp:lastModifiedBy>
  <cp:revision>17</cp:revision>
  <cp:lastPrinted>2018-09-25T10:38:00Z</cp:lastPrinted>
  <dcterms:created xsi:type="dcterms:W3CDTF">2018-08-23T17:15:00Z</dcterms:created>
  <dcterms:modified xsi:type="dcterms:W3CDTF">2018-11-21T13:50:00Z</dcterms:modified>
</cp:coreProperties>
</file>